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r w:rsidR="00BA2CEE" w:rsidRPr="00BA2CEE">
        <w:rPr>
          <w:rFonts w:ascii="Calibri" w:hAnsi="Calibri" w:cs="Arial"/>
          <w:b/>
          <w:szCs w:val="20"/>
          <w:lang w:val="el-GR"/>
        </w:rPr>
        <w:t xml:space="preserve"> ΒΙΟΧΗΜΕΙΑ ΙΙ</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226D81">
            <w:pPr>
              <w:rPr>
                <w:rFonts w:ascii="Calibri" w:hAnsi="Calibri" w:cs="Arial"/>
                <w:color w:val="002060"/>
                <w:sz w:val="20"/>
                <w:szCs w:val="20"/>
                <w:lang w:val="el-GR"/>
              </w:rPr>
            </w:pPr>
            <w:r>
              <w:rPr>
                <w:rFonts w:ascii="Calibri" w:hAnsi="Calibri" w:cs="Arial"/>
                <w:color w:val="002060"/>
                <w:sz w:val="20"/>
                <w:szCs w:val="20"/>
                <w:lang w:val="el-GR"/>
              </w:rPr>
              <w:t xml:space="preserve">ΕΠΙΣΤΗΜΩΝ </w:t>
            </w:r>
            <w:r w:rsidR="00CB0EEA">
              <w:rPr>
                <w:rFonts w:ascii="Calibri" w:hAnsi="Calibri" w:cs="Arial"/>
                <w:color w:val="002060"/>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BA2CEE">
            <w:pPr>
              <w:rPr>
                <w:rFonts w:ascii="Calibri" w:hAnsi="Calibri" w:cs="Arial"/>
                <w:b/>
                <w:sz w:val="20"/>
                <w:szCs w:val="20"/>
                <w:lang w:val="el-GR"/>
              </w:rPr>
            </w:pPr>
            <w:r w:rsidRPr="00BA2CEE">
              <w:rPr>
                <w:rFonts w:asciiTheme="minorHAnsi" w:hAnsiTheme="minorHAnsi" w:cstheme="minorHAnsi"/>
                <w:sz w:val="22"/>
              </w:rPr>
              <w:t>ΒΕΥ501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B024F0">
            <w:pPr>
              <w:rPr>
                <w:rFonts w:ascii="Calibri" w:hAnsi="Calibri" w:cs="Arial"/>
                <w:b/>
                <w:sz w:val="20"/>
                <w:szCs w:val="20"/>
                <w:lang w:val="el-GR"/>
              </w:rPr>
            </w:pPr>
            <w:r w:rsidRPr="00634618">
              <w:rPr>
                <w:rFonts w:ascii="Calibri" w:hAnsi="Calibri" w:cs="Arial"/>
                <w:b/>
                <w:sz w:val="28"/>
                <w:szCs w:val="20"/>
                <w:vertAlign w:val="superscript"/>
                <w:lang w:val="el-GR"/>
              </w:rPr>
              <w:t>4</w:t>
            </w:r>
            <w:r w:rsidR="00CB0EEA" w:rsidRPr="00634618">
              <w:rPr>
                <w:rFonts w:ascii="Calibri" w:hAnsi="Calibri" w:cs="Arial"/>
                <w:b/>
                <w:sz w:val="28"/>
                <w:szCs w:val="20"/>
                <w:vertAlign w:val="superscript"/>
                <w:lang w:val="el-GR"/>
              </w:rPr>
              <w:t>ο</w:t>
            </w:r>
            <w:r w:rsidR="00CB0EEA" w:rsidRPr="00634618">
              <w:rPr>
                <w:rFonts w:ascii="Calibri" w:hAnsi="Calibri" w:cs="Arial"/>
                <w:b/>
                <w:sz w:val="28"/>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BA2CEE" w:rsidRDefault="00BA2CEE">
            <w:pPr>
              <w:rPr>
                <w:rFonts w:asciiTheme="minorHAnsi" w:hAnsiTheme="minorHAnsi" w:cstheme="minorHAnsi"/>
                <w:sz w:val="20"/>
                <w:szCs w:val="20"/>
                <w:lang w:val="el-GR"/>
              </w:rPr>
            </w:pPr>
            <w:r>
              <w:rPr>
                <w:rFonts w:ascii="Calibri" w:hAnsi="Calibri" w:cs="Arial"/>
                <w:sz w:val="20"/>
                <w:szCs w:val="20"/>
                <w:lang w:val="el-GR"/>
              </w:rPr>
              <w:t>ΒΙΟΧΗΜΕΙΑ ΙΙ</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CB0EEA">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Default="00CB0EEA">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F378BC"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955FA7" w:rsidRPr="00CB0EE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ΑΓΓΛΙΚΑ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F378BC"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w:t>
            </w:r>
            <w:r w:rsidR="004F5FFB">
              <w:rPr>
                <w:rFonts w:ascii="Calibri" w:hAnsi="Calibri" w:cs="Arial"/>
                <w:i/>
                <w:sz w:val="16"/>
                <w:szCs w:val="16"/>
                <w:lang w:val="el-GR"/>
              </w:rPr>
              <w:t>39</w:t>
            </w:r>
            <w:r>
              <w:rPr>
                <w:rFonts w:ascii="Calibri" w:hAnsi="Calibri" w:cs="Arial"/>
                <w:i/>
                <w:sz w:val="16"/>
                <w:szCs w:val="16"/>
                <w:lang w:val="el-GR"/>
              </w:rPr>
              <w:t>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F378BC" w:rsidTr="00955FA7">
        <w:tc>
          <w:tcPr>
            <w:tcW w:w="8472" w:type="dxa"/>
            <w:gridSpan w:val="2"/>
            <w:tcBorders>
              <w:top w:val="single" w:sz="4" w:space="0" w:color="auto"/>
              <w:left w:val="single" w:sz="4" w:space="0" w:color="auto"/>
              <w:bottom w:val="single" w:sz="4" w:space="0" w:color="auto"/>
              <w:right w:val="single" w:sz="4" w:space="0" w:color="auto"/>
            </w:tcBorders>
          </w:tcPr>
          <w:p w:rsidR="0082469C" w:rsidRPr="0082469C" w:rsidRDefault="0082469C" w:rsidP="00D058E5">
            <w:pPr>
              <w:pStyle w:val="ListParagraph"/>
              <w:spacing w:after="0" w:line="240" w:lineRule="auto"/>
              <w:ind w:left="0"/>
              <w:jc w:val="both"/>
              <w:rPr>
                <w:rFonts w:ascii="Times New Roman" w:hAnsi="Times New Roman"/>
                <w:color w:val="000000"/>
                <w:shd w:val="clear" w:color="auto" w:fill="FFFFFF"/>
                <w:lang w:val="de-DE"/>
              </w:rPr>
            </w:pPr>
            <w:r w:rsidRPr="0082469C">
              <w:rPr>
                <w:rFonts w:ascii="Times New Roman" w:hAnsi="Times New Roman"/>
                <w:color w:val="000000"/>
                <w:shd w:val="clear" w:color="auto" w:fill="FFFFFF"/>
              </w:rPr>
              <w:t>Σκοποί του μαθήματος είναι</w:t>
            </w:r>
            <w:r w:rsidRPr="0082469C">
              <w:rPr>
                <w:rFonts w:ascii="Times New Roman" w:hAnsi="Times New Roman"/>
                <w:color w:val="000000"/>
                <w:shd w:val="clear" w:color="auto" w:fill="FFFFFF"/>
                <w:lang w:val="de-DE"/>
              </w:rPr>
              <w:t>:</w:t>
            </w:r>
          </w:p>
          <w:p w:rsidR="0082469C" w:rsidRPr="0082469C" w:rsidRDefault="0082469C" w:rsidP="0082469C">
            <w:pPr>
              <w:pStyle w:val="ListParagraph"/>
              <w:numPr>
                <w:ilvl w:val="0"/>
                <w:numId w:val="16"/>
              </w:numPr>
              <w:spacing w:after="0" w:line="240" w:lineRule="auto"/>
              <w:jc w:val="both"/>
              <w:rPr>
                <w:rFonts w:ascii="Times New Roman" w:hAnsi="Times New Roman"/>
                <w:color w:val="000000"/>
                <w:shd w:val="clear" w:color="auto" w:fill="FFFFFF"/>
              </w:rPr>
            </w:pPr>
            <w:r w:rsidRPr="0082469C">
              <w:rPr>
                <w:rFonts w:ascii="Times New Roman" w:hAnsi="Times New Roman"/>
                <w:color w:val="000000"/>
                <w:shd w:val="clear" w:color="auto" w:fill="FFFFFF"/>
                <w:lang w:val="de-DE"/>
              </w:rPr>
              <w:t xml:space="preserve">H </w:t>
            </w:r>
            <w:r w:rsidRPr="0082469C">
              <w:rPr>
                <w:rFonts w:ascii="Times New Roman" w:hAnsi="Times New Roman"/>
                <w:color w:val="000000"/>
                <w:shd w:val="clear" w:color="auto" w:fill="FFFFFF"/>
              </w:rPr>
              <w:t>κατανόηση μεταβολικών πορειών</w:t>
            </w:r>
          </w:p>
          <w:p w:rsidR="0082469C" w:rsidRPr="0082469C" w:rsidRDefault="0082469C" w:rsidP="0082469C">
            <w:pPr>
              <w:pStyle w:val="ListParagraph"/>
              <w:numPr>
                <w:ilvl w:val="0"/>
                <w:numId w:val="16"/>
              </w:numPr>
              <w:spacing w:after="0" w:line="240" w:lineRule="auto"/>
              <w:jc w:val="both"/>
              <w:rPr>
                <w:rFonts w:ascii="Times New Roman" w:hAnsi="Times New Roman"/>
                <w:color w:val="000000"/>
                <w:shd w:val="clear" w:color="auto" w:fill="FFFFFF"/>
              </w:rPr>
            </w:pPr>
            <w:r w:rsidRPr="0082469C">
              <w:rPr>
                <w:rFonts w:ascii="Times New Roman" w:hAnsi="Times New Roman"/>
                <w:color w:val="000000"/>
                <w:shd w:val="clear" w:color="auto" w:fill="FFFFFF"/>
              </w:rPr>
              <w:t>Η κατανόηση βιοσυνθετικών μονοπατιών αμινοξέων, νουκλεϊκών οξέων, λιπιδίων και στεροειδών</w:t>
            </w:r>
          </w:p>
          <w:p w:rsidR="0082469C" w:rsidRPr="0082469C" w:rsidRDefault="0082469C" w:rsidP="0082469C">
            <w:pPr>
              <w:pStyle w:val="ListParagraph"/>
              <w:numPr>
                <w:ilvl w:val="0"/>
                <w:numId w:val="16"/>
              </w:numPr>
              <w:spacing w:after="0" w:line="240" w:lineRule="auto"/>
              <w:jc w:val="both"/>
              <w:rPr>
                <w:rFonts w:ascii="Times New Roman" w:hAnsi="Times New Roman"/>
                <w:color w:val="000000"/>
                <w:shd w:val="clear" w:color="auto" w:fill="FFFFFF"/>
              </w:rPr>
            </w:pPr>
            <w:r w:rsidRPr="0082469C">
              <w:rPr>
                <w:rFonts w:ascii="Times New Roman" w:hAnsi="Times New Roman"/>
                <w:color w:val="000000"/>
                <w:shd w:val="clear" w:color="auto" w:fill="FFFFFF"/>
              </w:rPr>
              <w:t>Η κατανόηση της αλληλεπίδρασης μεταβολικών πορειών για τη ρύθμιση βασικών λειτουργιών των οργανισμών</w:t>
            </w:r>
          </w:p>
          <w:p w:rsidR="00955FA7" w:rsidRPr="0082469C" w:rsidRDefault="00955FA7">
            <w:pPr>
              <w:widowControl w:val="0"/>
              <w:autoSpaceDE w:val="0"/>
              <w:autoSpaceDN w:val="0"/>
              <w:adjustRightInd w:val="0"/>
              <w:rPr>
                <w:b/>
                <w:color w:val="002060"/>
                <w:sz w:val="22"/>
                <w:szCs w:val="22"/>
                <w:lang w:val="el-GR"/>
              </w:rPr>
            </w:pPr>
          </w:p>
          <w:p w:rsidR="00D058E5" w:rsidRPr="0082469C" w:rsidRDefault="00D058E5" w:rsidP="00D058E5">
            <w:pPr>
              <w:autoSpaceDE w:val="0"/>
              <w:autoSpaceDN w:val="0"/>
              <w:adjustRightInd w:val="0"/>
              <w:jc w:val="both"/>
              <w:rPr>
                <w:rFonts w:eastAsia="BookAntiqua"/>
                <w:sz w:val="22"/>
                <w:szCs w:val="22"/>
                <w:lang w:val="el-GR" w:eastAsia="el-GR"/>
              </w:rPr>
            </w:pPr>
            <w:r w:rsidRPr="0082469C">
              <w:rPr>
                <w:rFonts w:eastAsia="BookAntiqua"/>
                <w:sz w:val="22"/>
                <w:szCs w:val="22"/>
                <w:lang w:val="el-GR" w:eastAsia="el-GR"/>
              </w:rPr>
              <w:t>Οι εργ</w:t>
            </w:r>
            <w:r w:rsidR="0082469C" w:rsidRPr="0082469C">
              <w:rPr>
                <w:rFonts w:eastAsia="BookAntiqua"/>
                <w:sz w:val="22"/>
                <w:szCs w:val="22"/>
                <w:lang w:val="el-GR" w:eastAsia="el-GR"/>
              </w:rPr>
              <w:t xml:space="preserve">αστηριακές ασκήσεις αποσκοπούν </w:t>
            </w:r>
            <w:r w:rsidRPr="0082469C">
              <w:rPr>
                <w:rFonts w:eastAsia="BookAntiqua"/>
                <w:sz w:val="22"/>
                <w:szCs w:val="22"/>
                <w:lang w:val="el-GR" w:eastAsia="el-GR"/>
              </w:rPr>
              <w:t xml:space="preserve">στην εξοικείωση των φοιτητών με το πώς προσεγγίζονται βιολογικά ερωτήματα πειραματικά (εναλλακτικές μέθοδοι προσδιορισμού ενζυμικών ενεργοτήτων, ιστοειδική έκφραση ενζύμων). </w:t>
            </w:r>
            <w:r w:rsidR="00183793" w:rsidRPr="0082469C">
              <w:rPr>
                <w:rFonts w:eastAsia="BookAntiqua"/>
                <w:sz w:val="22"/>
                <w:szCs w:val="22"/>
                <w:lang w:val="el-GR" w:eastAsia="el-GR"/>
              </w:rPr>
              <w:t xml:space="preserve">Γίνεται εισαγωγή </w:t>
            </w:r>
            <w:r w:rsidRPr="0082469C">
              <w:rPr>
                <w:rFonts w:eastAsia="BookAntiqua"/>
                <w:sz w:val="22"/>
                <w:szCs w:val="22"/>
                <w:lang w:val="el-GR" w:eastAsia="el-GR"/>
              </w:rPr>
              <w:t xml:space="preserve"> σε βασικές τεχνικές διαχωρισμού, ποιοτικής και </w:t>
            </w:r>
            <w:r w:rsidR="0082469C" w:rsidRPr="0082469C">
              <w:rPr>
                <w:rFonts w:eastAsia="BookAntiqua"/>
                <w:sz w:val="22"/>
                <w:szCs w:val="22"/>
                <w:lang w:val="el-GR" w:eastAsia="el-GR"/>
              </w:rPr>
              <w:t>ποσοτικής ανάλυσης των νουκλεϊ</w:t>
            </w:r>
            <w:r w:rsidRPr="0082469C">
              <w:rPr>
                <w:rFonts w:eastAsia="BookAntiqua"/>
                <w:sz w:val="22"/>
                <w:szCs w:val="22"/>
                <w:lang w:val="el-GR" w:eastAsia="el-GR"/>
              </w:rPr>
              <w:t>κών οξέων.</w:t>
            </w:r>
          </w:p>
          <w:p w:rsidR="0082469C" w:rsidRPr="0082469C" w:rsidRDefault="0082469C" w:rsidP="00D058E5">
            <w:pPr>
              <w:autoSpaceDE w:val="0"/>
              <w:autoSpaceDN w:val="0"/>
              <w:adjustRightInd w:val="0"/>
              <w:jc w:val="both"/>
              <w:rPr>
                <w:rFonts w:eastAsia="BookAntiqua"/>
                <w:sz w:val="22"/>
                <w:szCs w:val="22"/>
                <w:lang w:val="el-GR" w:eastAsia="el-GR"/>
              </w:rPr>
            </w:pPr>
          </w:p>
          <w:p w:rsidR="0082469C" w:rsidRPr="0082469C" w:rsidRDefault="0082469C" w:rsidP="0082469C">
            <w:pPr>
              <w:shd w:val="clear" w:color="auto" w:fill="FFFFFF"/>
              <w:jc w:val="both"/>
              <w:outlineLvl w:val="2"/>
              <w:rPr>
                <w:bCs/>
                <w:sz w:val="22"/>
                <w:szCs w:val="22"/>
                <w:lang w:val="el-GR" w:eastAsia="el-GR"/>
              </w:rPr>
            </w:pPr>
            <w:r w:rsidRPr="0082469C">
              <w:rPr>
                <w:bCs/>
                <w:sz w:val="22"/>
                <w:szCs w:val="22"/>
                <w:lang w:val="el-GR" w:eastAsia="el-GR"/>
              </w:rPr>
              <w:t>Με την ολοκλήρωση του μαθήματος οι φοιτητές:</w:t>
            </w:r>
          </w:p>
          <w:p w:rsidR="0082469C" w:rsidRPr="0082469C" w:rsidRDefault="0082469C" w:rsidP="0082469C">
            <w:pPr>
              <w:pStyle w:val="ListParagraph"/>
              <w:numPr>
                <w:ilvl w:val="0"/>
                <w:numId w:val="17"/>
              </w:numPr>
              <w:shd w:val="clear" w:color="auto" w:fill="FFFFFF"/>
              <w:ind w:left="737"/>
              <w:jc w:val="both"/>
              <w:outlineLvl w:val="2"/>
              <w:rPr>
                <w:rFonts w:ascii="Times New Roman" w:hAnsi="Times New Roman"/>
              </w:rPr>
            </w:pPr>
            <w:r w:rsidRPr="0082469C">
              <w:rPr>
                <w:rFonts w:ascii="Times New Roman" w:hAnsi="Times New Roman"/>
                <w:bCs/>
                <w:lang w:eastAsia="el-GR"/>
              </w:rPr>
              <w:t>Θ</w:t>
            </w:r>
            <w:r w:rsidRPr="0082469C">
              <w:rPr>
                <w:rFonts w:ascii="Times New Roman" w:eastAsia="Times New Roman" w:hAnsi="Times New Roman"/>
                <w:bCs/>
                <w:lang w:eastAsia="el-GR"/>
              </w:rPr>
              <w:t>α κατανοούν</w:t>
            </w:r>
            <w:r w:rsidRPr="0082469C">
              <w:rPr>
                <w:rFonts w:ascii="Times New Roman" w:hAnsi="Times New Roman"/>
              </w:rPr>
              <w:t xml:space="preserve"> πως καλύπτονται οι ανάγκες  του οργανισμού σε λειτουργικά και δομικά βιομόρια.  </w:t>
            </w:r>
          </w:p>
          <w:p w:rsidR="0082469C" w:rsidRPr="0082469C" w:rsidRDefault="0082469C" w:rsidP="0082469C">
            <w:pPr>
              <w:pStyle w:val="ListParagraph"/>
              <w:numPr>
                <w:ilvl w:val="0"/>
                <w:numId w:val="17"/>
              </w:numPr>
              <w:shd w:val="clear" w:color="auto" w:fill="FFFFFF"/>
              <w:ind w:left="737"/>
              <w:jc w:val="both"/>
              <w:outlineLvl w:val="2"/>
              <w:rPr>
                <w:rFonts w:ascii="Times New Roman" w:hAnsi="Times New Roman"/>
                <w:bCs/>
                <w:color w:val="000000"/>
                <w:lang w:eastAsia="el-GR"/>
              </w:rPr>
            </w:pPr>
            <w:r w:rsidRPr="0082469C">
              <w:rPr>
                <w:rFonts w:ascii="Times New Roman" w:hAnsi="Times New Roman"/>
              </w:rPr>
              <w:t>Θα γνωρίζουν  ποιες είναι οι απαιτήσεις και πως επιτελείται η  ρύθμιση των βιοσυνθετικών μονοπατιών των αμινοξέων, ν</w:t>
            </w:r>
            <w:r w:rsidRPr="0082469C">
              <w:rPr>
                <w:rFonts w:ascii="Times New Roman" w:eastAsia="Times New Roman" w:hAnsi="Times New Roman"/>
                <w:bCs/>
                <w:color w:val="000000"/>
                <w:lang w:eastAsia="el-GR"/>
              </w:rPr>
              <w:t xml:space="preserve">ουκλεϊνικών οξέων, λιπιδίων και στεροειδών. </w:t>
            </w:r>
            <w:r w:rsidRPr="0082469C">
              <w:rPr>
                <w:rFonts w:ascii="Times New Roman" w:hAnsi="Times New Roman"/>
                <w:bCs/>
                <w:color w:val="000000"/>
                <w:lang w:eastAsia="el-GR"/>
              </w:rPr>
              <w:t xml:space="preserve"> </w:t>
            </w:r>
          </w:p>
          <w:p w:rsidR="0082469C" w:rsidRPr="0082469C" w:rsidRDefault="0082469C" w:rsidP="0082469C">
            <w:pPr>
              <w:pStyle w:val="ListParagraph"/>
              <w:numPr>
                <w:ilvl w:val="0"/>
                <w:numId w:val="17"/>
              </w:numPr>
              <w:shd w:val="clear" w:color="auto" w:fill="FFFFFF"/>
              <w:ind w:left="737"/>
              <w:jc w:val="both"/>
              <w:outlineLvl w:val="2"/>
              <w:rPr>
                <w:rFonts w:ascii="Times New Roman" w:hAnsi="Times New Roman"/>
              </w:rPr>
            </w:pPr>
            <w:r w:rsidRPr="0082469C">
              <w:rPr>
                <w:rFonts w:ascii="Times New Roman" w:hAnsi="Times New Roman"/>
                <w:bCs/>
                <w:color w:val="000000"/>
                <w:lang w:eastAsia="el-GR"/>
              </w:rPr>
              <w:t>Θα κατανοούν  πως συντονίζονται τα μεταβολικά μονοπάτια στον οργανισμό κ</w:t>
            </w:r>
            <w:r w:rsidR="000E33F3">
              <w:rPr>
                <w:rFonts w:ascii="Times New Roman" w:hAnsi="Times New Roman"/>
                <w:bCs/>
                <w:color w:val="000000"/>
                <w:lang w:eastAsia="el-GR"/>
              </w:rPr>
              <w:t>αι πως επιτυγχάνεται η</w:t>
            </w:r>
            <w:r w:rsidRPr="0082469C">
              <w:rPr>
                <w:rFonts w:ascii="Times New Roman" w:hAnsi="Times New Roman"/>
                <w:bCs/>
                <w:color w:val="000000"/>
                <w:lang w:eastAsia="el-GR"/>
              </w:rPr>
              <w:t xml:space="preserve"> ομοιόσταση.</w:t>
            </w:r>
          </w:p>
          <w:p w:rsidR="00D058E5" w:rsidRPr="0082469C" w:rsidRDefault="0082469C" w:rsidP="0082469C">
            <w:pPr>
              <w:pStyle w:val="ListParagraph"/>
              <w:numPr>
                <w:ilvl w:val="0"/>
                <w:numId w:val="17"/>
              </w:numPr>
              <w:shd w:val="clear" w:color="auto" w:fill="FFFFFF"/>
              <w:ind w:left="737"/>
              <w:jc w:val="both"/>
              <w:outlineLvl w:val="2"/>
              <w:rPr>
                <w:rFonts w:ascii="Times New Roman" w:hAnsi="Times New Roman"/>
              </w:rPr>
            </w:pPr>
            <w:r w:rsidRPr="0082469C">
              <w:rPr>
                <w:rFonts w:ascii="Times New Roman" w:hAnsi="Times New Roman"/>
                <w:bCs/>
                <w:lang w:eastAsia="el-GR"/>
              </w:rPr>
              <w:t>Θ</w:t>
            </w:r>
            <w:r w:rsidR="00D058E5" w:rsidRPr="0082469C">
              <w:rPr>
                <w:rFonts w:ascii="Times New Roman" w:hAnsi="Times New Roman"/>
                <w:bCs/>
                <w:lang w:eastAsia="el-GR"/>
              </w:rPr>
              <w:t xml:space="preserve">α γνωρίζουν πώς να </w:t>
            </w:r>
            <w:r w:rsidR="00183793" w:rsidRPr="0082469C">
              <w:rPr>
                <w:rFonts w:ascii="Times New Roman" w:hAnsi="Times New Roman"/>
                <w:bCs/>
                <w:lang w:eastAsia="el-GR"/>
              </w:rPr>
              <w:t>προσεγγίζουν</w:t>
            </w:r>
            <w:r w:rsidR="00D058E5" w:rsidRPr="0082469C">
              <w:rPr>
                <w:rFonts w:ascii="Times New Roman" w:hAnsi="Times New Roman"/>
                <w:bCs/>
                <w:lang w:eastAsia="el-GR"/>
              </w:rPr>
              <w:t xml:space="preserve"> ένα </w:t>
            </w:r>
            <w:r w:rsidR="00183793" w:rsidRPr="0082469C">
              <w:rPr>
                <w:rFonts w:ascii="Times New Roman" w:hAnsi="Times New Roman"/>
                <w:bCs/>
                <w:lang w:eastAsia="el-GR"/>
              </w:rPr>
              <w:t>βιολογικό</w:t>
            </w:r>
            <w:r w:rsidR="00D058E5" w:rsidRPr="0082469C">
              <w:rPr>
                <w:rFonts w:ascii="Times New Roman" w:hAnsi="Times New Roman"/>
                <w:bCs/>
                <w:lang w:eastAsia="el-GR"/>
              </w:rPr>
              <w:t xml:space="preserve"> ερώτημα  </w:t>
            </w:r>
            <w:r w:rsidR="00183793" w:rsidRPr="0082469C">
              <w:rPr>
                <w:rFonts w:ascii="Times New Roman" w:hAnsi="Times New Roman"/>
                <w:bCs/>
                <w:lang w:eastAsia="el-GR"/>
              </w:rPr>
              <w:t>πειραματικά</w:t>
            </w:r>
            <w:r w:rsidR="00D058E5" w:rsidRPr="0082469C">
              <w:rPr>
                <w:rFonts w:ascii="Times New Roman" w:hAnsi="Times New Roman"/>
                <w:bCs/>
                <w:lang w:eastAsia="el-GR"/>
              </w:rPr>
              <w:t xml:space="preserve"> και πώς να </w:t>
            </w:r>
            <w:r w:rsidR="00183793" w:rsidRPr="0082469C">
              <w:rPr>
                <w:rFonts w:ascii="Times New Roman" w:hAnsi="Times New Roman"/>
                <w:bCs/>
                <w:lang w:eastAsia="el-GR"/>
              </w:rPr>
              <w:t>αναλύουν</w:t>
            </w:r>
            <w:r w:rsidR="00D058E5" w:rsidRPr="0082469C">
              <w:rPr>
                <w:rFonts w:ascii="Times New Roman" w:hAnsi="Times New Roman"/>
                <w:bCs/>
                <w:lang w:eastAsia="el-GR"/>
              </w:rPr>
              <w:t xml:space="preserve"> τα αποτελέσματα τους και πώς να τα </w:t>
            </w:r>
            <w:r w:rsidR="00183793" w:rsidRPr="0082469C">
              <w:rPr>
                <w:rFonts w:ascii="Times New Roman" w:hAnsi="Times New Roman"/>
                <w:bCs/>
                <w:lang w:eastAsia="el-GR"/>
              </w:rPr>
              <w:t>παρουσιάζουν</w:t>
            </w:r>
            <w:r w:rsidR="00D058E5" w:rsidRPr="0082469C">
              <w:rPr>
                <w:rFonts w:ascii="Times New Roman" w:hAnsi="Times New Roman"/>
                <w:bCs/>
                <w:lang w:eastAsia="el-GR"/>
              </w:rPr>
              <w:t xml:space="preserve"> με </w:t>
            </w:r>
            <w:r w:rsidR="00183793" w:rsidRPr="0082469C">
              <w:rPr>
                <w:rFonts w:ascii="Times New Roman" w:hAnsi="Times New Roman"/>
                <w:bCs/>
                <w:lang w:eastAsia="el-GR"/>
              </w:rPr>
              <w:t>επιστημονικό</w:t>
            </w:r>
            <w:r w:rsidR="00D058E5" w:rsidRPr="0082469C">
              <w:rPr>
                <w:rFonts w:ascii="Times New Roman" w:hAnsi="Times New Roman"/>
                <w:bCs/>
                <w:lang w:eastAsia="el-GR"/>
              </w:rPr>
              <w:t xml:space="preserve"> τρόπο</w:t>
            </w:r>
            <w:r w:rsidRPr="0082469C">
              <w:rPr>
                <w:rFonts w:ascii="Times New Roman" w:hAnsi="Times New Roman"/>
                <w:bCs/>
                <w:lang w:eastAsia="el-GR"/>
              </w:rPr>
              <w:t>.</w:t>
            </w:r>
          </w:p>
          <w:p w:rsidR="00955FA7" w:rsidRPr="0082469C" w:rsidRDefault="0082469C" w:rsidP="0082469C">
            <w:pPr>
              <w:pStyle w:val="ListParagraph"/>
              <w:numPr>
                <w:ilvl w:val="0"/>
                <w:numId w:val="17"/>
              </w:numPr>
              <w:shd w:val="clear" w:color="auto" w:fill="FFFFFF"/>
              <w:ind w:left="737"/>
              <w:jc w:val="both"/>
              <w:outlineLvl w:val="2"/>
            </w:pPr>
            <w:r w:rsidRPr="0082469C">
              <w:rPr>
                <w:rFonts w:ascii="Times New Roman" w:hAnsi="Times New Roman"/>
                <w:bCs/>
                <w:lang w:eastAsia="el-GR"/>
              </w:rPr>
              <w:t>Θα γνωρίζουν πώς</w:t>
            </w:r>
            <w:r w:rsidRPr="0082469C">
              <w:rPr>
                <w:rFonts w:ascii="Times New Roman" w:hAnsi="Times New Roman"/>
              </w:rPr>
              <w:t xml:space="preserve"> </w:t>
            </w:r>
            <w:r w:rsidRPr="0082469C">
              <w:rPr>
                <w:rFonts w:ascii="Times New Roman" w:hAnsi="Times New Roman"/>
                <w:bCs/>
                <w:lang w:eastAsia="el-GR"/>
              </w:rPr>
              <w:t>ν</w:t>
            </w:r>
            <w:r w:rsidR="00183793" w:rsidRPr="0082469C">
              <w:rPr>
                <w:rFonts w:ascii="Times New Roman" w:hAnsi="Times New Roman"/>
                <w:bCs/>
                <w:lang w:eastAsia="el-GR"/>
              </w:rPr>
              <w:t xml:space="preserve">α </w:t>
            </w:r>
            <w:r w:rsidR="00634618" w:rsidRPr="0082469C">
              <w:rPr>
                <w:rFonts w:ascii="Times New Roman" w:hAnsi="Times New Roman"/>
                <w:bCs/>
                <w:lang w:eastAsia="el-GR"/>
              </w:rPr>
              <w:t>διαχειρίζονται</w:t>
            </w:r>
            <w:r w:rsidRPr="0082469C">
              <w:rPr>
                <w:rFonts w:ascii="Times New Roman" w:hAnsi="Times New Roman"/>
                <w:bCs/>
                <w:lang w:eastAsia="el-GR"/>
              </w:rPr>
              <w:t xml:space="preserve"> και αναλύουν </w:t>
            </w:r>
            <w:r w:rsidR="00183793" w:rsidRPr="0082469C">
              <w:rPr>
                <w:rFonts w:ascii="Times New Roman" w:hAnsi="Times New Roman"/>
                <w:bCs/>
                <w:lang w:eastAsia="el-GR"/>
              </w:rPr>
              <w:t>νουκλεϊκά οξέα</w:t>
            </w:r>
            <w:r w:rsidRPr="0082469C">
              <w:rPr>
                <w:rFonts w:ascii="Times New Roman" w:hAnsi="Times New Roman"/>
                <w:bCs/>
                <w:lang w:eastAsia="el-GR"/>
              </w:rPr>
              <w:t>.</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F378BC"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4E34BA"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rsidP="00E6257E">
            <w:pPr>
              <w:widowControl w:val="0"/>
              <w:autoSpaceDE w:val="0"/>
              <w:autoSpaceDN w:val="0"/>
              <w:adjustRightInd w:val="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A0FA3" w:rsidTr="00955FA7">
        <w:tc>
          <w:tcPr>
            <w:tcW w:w="8472" w:type="dxa"/>
            <w:tcBorders>
              <w:top w:val="single" w:sz="4" w:space="0" w:color="auto"/>
              <w:left w:val="single" w:sz="4" w:space="0" w:color="auto"/>
              <w:bottom w:val="single" w:sz="4" w:space="0" w:color="auto"/>
              <w:right w:val="single" w:sz="4" w:space="0" w:color="auto"/>
            </w:tcBorders>
          </w:tcPr>
          <w:p w:rsidR="004E34BA" w:rsidRPr="00E6257E" w:rsidRDefault="004E34BA"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 xml:space="preserve">Πορεία φωσφορικών πεντοζών </w:t>
            </w:r>
          </w:p>
          <w:p w:rsidR="00E6257E" w:rsidRPr="00E6257E" w:rsidRDefault="004E34BA"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 xml:space="preserve">Μεταβολισμός του γλυκογόνου </w:t>
            </w:r>
          </w:p>
          <w:p w:rsidR="004E34BA" w:rsidRPr="00E6257E" w:rsidRDefault="004E34BA"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Μεταβολισμός των λιπαρών οξέων</w:t>
            </w:r>
          </w:p>
          <w:p w:rsidR="00183793" w:rsidRPr="00E6257E" w:rsidRDefault="00183793"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Ρυθμός αναπλήρωσης πρωτεϊνών και καταβολισμός αμινοξέων (κύκλος ουρίας)</w:t>
            </w:r>
          </w:p>
          <w:p w:rsidR="00183793" w:rsidRPr="00E6257E" w:rsidRDefault="00183793"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lastRenderedPageBreak/>
              <w:t xml:space="preserve">Βιοσύνθεση αμινοξέων </w:t>
            </w:r>
          </w:p>
          <w:p w:rsidR="00183793" w:rsidRPr="00E6257E" w:rsidRDefault="00183793"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 xml:space="preserve">Βιοσύνθεση νουκλεοτιδίων </w:t>
            </w:r>
          </w:p>
          <w:p w:rsidR="00183793" w:rsidRPr="00E6257E" w:rsidRDefault="00183793"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Βιοσύνθεση των μεμβρανικών λιπιδίων και των στεροειδών ορμονών</w:t>
            </w:r>
          </w:p>
          <w:p w:rsidR="00955FA7" w:rsidRPr="004E34BA" w:rsidRDefault="00183793" w:rsidP="00E6257E">
            <w:pPr>
              <w:pStyle w:val="Heading4"/>
              <w:keepNext w:val="0"/>
              <w:widowControl w:val="0"/>
              <w:numPr>
                <w:ilvl w:val="0"/>
                <w:numId w:val="18"/>
              </w:numPr>
              <w:tabs>
                <w:tab w:val="left" w:pos="357"/>
              </w:tabs>
              <w:spacing w:before="0" w:after="0" w:line="240" w:lineRule="auto"/>
              <w:jc w:val="both"/>
              <w:rPr>
                <w:rFonts w:ascii="Times New Roman" w:hAnsi="Times New Roman"/>
                <w:b w:val="0"/>
                <w:sz w:val="22"/>
                <w:szCs w:val="22"/>
              </w:rPr>
            </w:pPr>
            <w:r w:rsidRPr="00E6257E">
              <w:rPr>
                <w:rFonts w:ascii="Times New Roman" w:hAnsi="Times New Roman"/>
                <w:b w:val="0"/>
                <w:sz w:val="22"/>
                <w:szCs w:val="22"/>
              </w:rPr>
              <w:t>Συνολική θεώρηση του μεταβολισμού</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A0FA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E6257E" w:rsidRDefault="00AE6B15">
            <w:pPr>
              <w:spacing w:after="200" w:line="276" w:lineRule="auto"/>
              <w:rPr>
                <w:iCs/>
                <w:color w:val="002060"/>
                <w:sz w:val="22"/>
                <w:lang w:val="el-GR"/>
              </w:rPr>
            </w:pPr>
            <w:r w:rsidRPr="00E6257E">
              <w:rPr>
                <w:sz w:val="22"/>
                <w:szCs w:val="16"/>
                <w:lang w:val="el-GR"/>
              </w:rPr>
              <w:t>Πρόσωπο με πρόσωπο</w:t>
            </w:r>
          </w:p>
        </w:tc>
      </w:tr>
      <w:tr w:rsidR="00955FA7" w:rsidRPr="00F378BC"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E6257E" w:rsidRDefault="00AE6B15">
            <w:pPr>
              <w:rPr>
                <w:sz w:val="22"/>
                <w:szCs w:val="16"/>
                <w:lang w:val="el-GR"/>
              </w:rPr>
            </w:pPr>
            <w:r w:rsidRPr="00E6257E">
              <w:rPr>
                <w:sz w:val="22"/>
                <w:szCs w:val="16"/>
                <w:lang w:val="el-GR"/>
              </w:rPr>
              <w:t>Χρήση Τ.Π.Ε. στην Εργαστηριακή Εκπαίδευση</w:t>
            </w:r>
          </w:p>
          <w:p w:rsidR="00AE6B15" w:rsidRPr="00E6257E" w:rsidRDefault="00F378BC" w:rsidP="00F378BC">
            <w:pPr>
              <w:rPr>
                <w:b/>
                <w:color w:val="002060"/>
                <w:sz w:val="22"/>
                <w:szCs w:val="20"/>
                <w:lang w:val="el-GR"/>
              </w:rPr>
            </w:pPr>
            <w:r>
              <w:rPr>
                <w:sz w:val="22"/>
                <w:szCs w:val="16"/>
                <w:lang w:val="el-GR"/>
              </w:rPr>
              <w:t>Ηλεκτρονι</w:t>
            </w:r>
            <w:r w:rsidR="00AE6B15" w:rsidRPr="00E6257E">
              <w:rPr>
                <w:sz w:val="22"/>
                <w:szCs w:val="16"/>
                <w:lang w:val="el-GR"/>
              </w:rPr>
              <w:t>κή επικοινωνία με τους φοιτητες  (</w:t>
            </w:r>
            <w:r w:rsidR="00AE6B15" w:rsidRPr="00E6257E">
              <w:rPr>
                <w:sz w:val="22"/>
                <w:szCs w:val="16"/>
              </w:rPr>
              <w:t>E</w:t>
            </w:r>
            <w:r w:rsidR="00AE6B15" w:rsidRPr="00E6257E">
              <w:rPr>
                <w:sz w:val="22"/>
                <w:szCs w:val="16"/>
                <w:lang w:val="el-GR"/>
              </w:rPr>
              <w:t>-</w:t>
            </w:r>
            <w:r w:rsidR="00AE6B15" w:rsidRPr="00E6257E">
              <w:rPr>
                <w:sz w:val="22"/>
                <w:szCs w:val="16"/>
              </w:rPr>
              <w:t>course</w:t>
            </w:r>
            <w:r w:rsidR="00E6257E" w:rsidRPr="00E6257E">
              <w:rPr>
                <w:sz w:val="22"/>
                <w:szCs w:val="16"/>
                <w:lang w:val="el-GR"/>
              </w:rPr>
              <w:t>)  Ανάρτηση διαλέξεων</w:t>
            </w:r>
            <w:r w:rsidR="00AE6B15" w:rsidRPr="00E6257E">
              <w:rPr>
                <w:sz w:val="22"/>
                <w:szCs w:val="16"/>
                <w:lang w:val="el-GR"/>
              </w:rPr>
              <w:t xml:space="preserve"> (</w:t>
            </w:r>
            <w:proofErr w:type="spellStart"/>
            <w:r w:rsidR="00AE6B15" w:rsidRPr="00E6257E">
              <w:rPr>
                <w:sz w:val="22"/>
                <w:szCs w:val="16"/>
              </w:rPr>
              <w:t>powerpoint</w:t>
            </w:r>
            <w:proofErr w:type="spellEnd"/>
            <w:r w:rsidR="00E6257E" w:rsidRPr="00E6257E">
              <w:rPr>
                <w:sz w:val="22"/>
                <w:szCs w:val="16"/>
                <w:lang w:val="el-GR"/>
              </w:rPr>
              <w:t xml:space="preserve">) </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226D81">
                  <w:pPr>
                    <w:rPr>
                      <w:rFonts w:ascii="Calibri" w:hAnsi="Calibri"/>
                      <w:iCs/>
                      <w:color w:val="002060"/>
                      <w:sz w:val="22"/>
                      <w:szCs w:val="22"/>
                      <w:lang w:val="el-GR"/>
                    </w:rPr>
                  </w:pPr>
                  <w:r w:rsidRPr="00634618">
                    <w:rPr>
                      <w:rFonts w:ascii="Calibri" w:hAnsi="Calibri" w:cs="Arial"/>
                      <w:i/>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Default="004F5FFB">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226D81">
                  <w:pPr>
                    <w:rPr>
                      <w:rFonts w:ascii="Calibri" w:hAnsi="Calibri"/>
                      <w:iCs/>
                      <w:color w:val="002060"/>
                      <w:sz w:val="22"/>
                      <w:szCs w:val="22"/>
                      <w:lang w:val="el-GR"/>
                    </w:rPr>
                  </w:pPr>
                  <w:r w:rsidRPr="00634618">
                    <w:rPr>
                      <w:rFonts w:ascii="Calibri" w:hAnsi="Calibri" w:cs="Arial"/>
                      <w:i/>
                      <w:sz w:val="22"/>
                      <w:szCs w:val="22"/>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Default="00F058FF">
                  <w:pPr>
                    <w:jc w:val="center"/>
                    <w:rPr>
                      <w:rFonts w:ascii="Calibri" w:hAnsi="Calibri" w:cs="Arial"/>
                      <w:color w:val="002060"/>
                      <w:sz w:val="20"/>
                      <w:szCs w:val="20"/>
                      <w:lang w:val="el-GR"/>
                    </w:rPr>
                  </w:pPr>
                  <w:r>
                    <w:rPr>
                      <w:rFonts w:ascii="Calibri" w:hAnsi="Calibri" w:cs="Arial"/>
                      <w:color w:val="002060"/>
                      <w:sz w:val="20"/>
                      <w:szCs w:val="20"/>
                      <w:lang w:val="el-GR"/>
                    </w:rPr>
                    <w:t xml:space="preserve"> 18</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226D81">
                  <w:pPr>
                    <w:rPr>
                      <w:rFonts w:ascii="Calibri" w:hAnsi="Calibri"/>
                      <w:iCs/>
                      <w:color w:val="002060"/>
                      <w:sz w:val="22"/>
                      <w:szCs w:val="22"/>
                      <w:lang w:val="el-GR"/>
                    </w:rPr>
                  </w:pPr>
                  <w:r w:rsidRPr="00634618">
                    <w:rPr>
                      <w:rFonts w:ascii="Calibri" w:hAnsi="Calibri" w:cs="Arial"/>
                      <w:i/>
                      <w:sz w:val="22"/>
                      <w:szCs w:val="22"/>
                      <w:lang w:val="el-GR"/>
                    </w:rPr>
                    <w:t>Διαδραστική διδασκαλί</w:t>
                  </w:r>
                  <w:r w:rsidR="008A0FA3" w:rsidRPr="00634618">
                    <w:rPr>
                      <w:rFonts w:ascii="Calibri" w:hAnsi="Calibri" w:cs="Arial"/>
                      <w:i/>
                      <w:sz w:val="22"/>
                      <w:szCs w:val="22"/>
                      <w:lang w:val="el-GR"/>
                    </w:rPr>
                    <w:t>α</w:t>
                  </w:r>
                </w:p>
              </w:tc>
              <w:tc>
                <w:tcPr>
                  <w:tcW w:w="2468" w:type="dxa"/>
                  <w:tcBorders>
                    <w:top w:val="single" w:sz="4" w:space="0" w:color="auto"/>
                    <w:left w:val="single" w:sz="4" w:space="0" w:color="auto"/>
                    <w:bottom w:val="single" w:sz="4" w:space="0" w:color="auto"/>
                    <w:right w:val="single" w:sz="4" w:space="0" w:color="auto"/>
                  </w:tcBorders>
                </w:tcPr>
                <w:p w:rsidR="00955FA7" w:rsidRDefault="00F058FF">
                  <w:pPr>
                    <w:jc w:val="center"/>
                    <w:rPr>
                      <w:rFonts w:ascii="Calibri" w:hAnsi="Calibri" w:cs="Arial"/>
                      <w:color w:val="002060"/>
                      <w:sz w:val="20"/>
                      <w:szCs w:val="20"/>
                      <w:lang w:val="el-GR"/>
                    </w:rPr>
                  </w:pPr>
                  <w:r>
                    <w:rPr>
                      <w:rFonts w:ascii="Calibri" w:hAnsi="Calibri" w:cs="Arial"/>
                      <w:color w:val="002060"/>
                      <w:sz w:val="20"/>
                      <w:szCs w:val="20"/>
                      <w:lang w:val="el-GR"/>
                    </w:rPr>
                    <w:t xml:space="preserve">   3</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jc w:val="center"/>
                    <w:rPr>
                      <w:rFonts w:ascii="Calibri" w:hAnsi="Calibri" w:cs="Arial"/>
                      <w:color w:val="002060"/>
                      <w:sz w:val="20"/>
                      <w:szCs w:val="20"/>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i/>
                      <w:color w:val="002060"/>
                      <w:sz w:val="16"/>
                      <w:szCs w:val="16"/>
                      <w:lang w:val="el-GR"/>
                    </w:rPr>
                  </w:pP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837892">
                  <w:pPr>
                    <w:rPr>
                      <w:rFonts w:ascii="Calibri" w:hAnsi="Calibri"/>
                      <w:iCs/>
                      <w:color w:val="002060"/>
                      <w:sz w:val="22"/>
                      <w:szCs w:val="22"/>
                      <w:lang w:val="el-GR"/>
                    </w:rPr>
                  </w:pPr>
                  <w:r w:rsidRPr="00634618">
                    <w:rPr>
                      <w:rFonts w:ascii="Calibri" w:hAnsi="Calibri"/>
                      <w:iCs/>
                      <w:color w:val="002060"/>
                      <w:sz w:val="22"/>
                      <w:szCs w:val="22"/>
                      <w:lang w:val="el-GR"/>
                    </w:rPr>
                    <w:t>Αυτόνομη</w:t>
                  </w:r>
                  <w:r w:rsidR="004F5FFB" w:rsidRPr="00634618">
                    <w:rPr>
                      <w:rFonts w:ascii="Calibri" w:hAnsi="Calibri"/>
                      <w:iCs/>
                      <w:color w:val="002060"/>
                      <w:sz w:val="22"/>
                      <w:szCs w:val="22"/>
                      <w:lang w:val="el-GR"/>
                    </w:rPr>
                    <w:t xml:space="preserve"> </w:t>
                  </w:r>
                  <w:r w:rsidRPr="00634618">
                    <w:rPr>
                      <w:rFonts w:ascii="Calibri" w:hAnsi="Calibri"/>
                      <w:iCs/>
                      <w:color w:val="002060"/>
                      <w:sz w:val="22"/>
                      <w:szCs w:val="22"/>
                      <w:lang w:val="el-GR"/>
                    </w:rPr>
                    <w:t>μελέτη</w:t>
                  </w:r>
                </w:p>
              </w:tc>
              <w:tc>
                <w:tcPr>
                  <w:tcW w:w="2468" w:type="dxa"/>
                  <w:tcBorders>
                    <w:top w:val="single" w:sz="4" w:space="0" w:color="auto"/>
                    <w:left w:val="single" w:sz="4" w:space="0" w:color="auto"/>
                    <w:bottom w:val="single" w:sz="4" w:space="0" w:color="auto"/>
                    <w:right w:val="single" w:sz="4" w:space="0" w:color="auto"/>
                  </w:tcBorders>
                </w:tcPr>
                <w:p w:rsidR="00955FA7" w:rsidRDefault="00837892">
                  <w:pPr>
                    <w:jc w:val="center"/>
                    <w:rPr>
                      <w:rFonts w:ascii="Calibri" w:hAnsi="Calibri" w:cs="Arial"/>
                      <w:color w:val="002060"/>
                      <w:sz w:val="20"/>
                      <w:szCs w:val="20"/>
                      <w:lang w:val="el-GR"/>
                    </w:rPr>
                  </w:pPr>
                  <w:r>
                    <w:rPr>
                      <w:rFonts w:ascii="Calibri" w:hAnsi="Calibri" w:cs="Arial"/>
                      <w:color w:val="002060"/>
                      <w:sz w:val="20"/>
                      <w:szCs w:val="20"/>
                      <w:lang w:val="el-GR"/>
                    </w:rPr>
                    <w:t>100</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634618" w:rsidRDefault="00955FA7">
                  <w:pPr>
                    <w:rPr>
                      <w:rFonts w:ascii="Calibri" w:hAnsi="Calibri"/>
                      <w:iCs/>
                      <w:color w:val="002060"/>
                      <w:sz w:val="22"/>
                      <w:szCs w:val="22"/>
                      <w:lang w:val="el-GR"/>
                    </w:rPr>
                  </w:pPr>
                  <w:r w:rsidRPr="00634618">
                    <w:rPr>
                      <w:rFonts w:ascii="Calibri" w:hAnsi="Calibri"/>
                      <w:iCs/>
                      <w:color w:val="002060"/>
                      <w:sz w:val="22"/>
                      <w:szCs w:val="22"/>
                      <w:lang w:val="el-GR"/>
                    </w:rPr>
                    <w:t>Σύνολο</w:t>
                  </w:r>
                  <w:r w:rsidRPr="00634618">
                    <w:rPr>
                      <w:rFonts w:ascii="Calibri" w:hAnsi="Calibri"/>
                      <w:iCs/>
                      <w:color w:val="002060"/>
                      <w:sz w:val="22"/>
                      <w:szCs w:val="22"/>
                    </w:rPr>
                    <w:t xml:space="preserve"> </w:t>
                  </w:r>
                  <w:r w:rsidRPr="00634618">
                    <w:rPr>
                      <w:rFonts w:ascii="Calibri" w:hAnsi="Calibri"/>
                      <w:iCs/>
                      <w:color w:val="002060"/>
                      <w:sz w:val="22"/>
                      <w:szCs w:val="22"/>
                      <w:lang w:val="el-GR"/>
                    </w:rPr>
                    <w:t>Μαθήματος</w:t>
                  </w:r>
                  <w:r w:rsidRPr="0063461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Default="00F058FF">
                  <w:pPr>
                    <w:jc w:val="center"/>
                    <w:rPr>
                      <w:rFonts w:ascii="Calibri" w:hAnsi="Calibri" w:cs="Arial"/>
                      <w:b/>
                      <w:i/>
                      <w:color w:val="002060"/>
                      <w:sz w:val="20"/>
                      <w:szCs w:val="20"/>
                      <w:lang w:val="el-GR"/>
                    </w:rPr>
                  </w:pPr>
                  <w:r>
                    <w:rPr>
                      <w:rFonts w:ascii="Calibri" w:hAnsi="Calibri" w:cs="Arial"/>
                      <w:b/>
                      <w:i/>
                      <w:color w:val="002060"/>
                      <w:sz w:val="20"/>
                      <w:szCs w:val="20"/>
                      <w:lang w:val="el-GR"/>
                    </w:rPr>
                    <w:t>160</w:t>
                  </w:r>
                </w:p>
              </w:tc>
            </w:tr>
          </w:tbl>
          <w:p w:rsidR="00955FA7" w:rsidRDefault="00955FA7">
            <w:pPr>
              <w:rPr>
                <w:rFonts w:ascii="Tahoma" w:hAnsi="Tahoma" w:cs="Tahoma"/>
              </w:rPr>
            </w:pPr>
          </w:p>
        </w:tc>
      </w:tr>
      <w:tr w:rsidR="00955FA7" w:rsidRPr="008A0FA3"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837892" w:rsidRDefault="00837892">
            <w:pPr>
              <w:rPr>
                <w:rFonts w:ascii="Calibri" w:hAnsi="Calibri" w:cs="Arial"/>
                <w:color w:val="002060"/>
                <w:lang w:val="el-GR"/>
              </w:rPr>
            </w:pPr>
          </w:p>
          <w:p w:rsidR="00955FA7" w:rsidRPr="00E6257E" w:rsidRDefault="00837892">
            <w:pPr>
              <w:rPr>
                <w:b/>
                <w:sz w:val="22"/>
                <w:szCs w:val="22"/>
                <w:lang w:val="el-GR"/>
              </w:rPr>
            </w:pPr>
            <w:r w:rsidRPr="00E6257E">
              <w:rPr>
                <w:b/>
                <w:sz w:val="22"/>
                <w:szCs w:val="22"/>
                <w:lang w:val="el-GR"/>
              </w:rPr>
              <w:t>Θεωρία (80%)</w:t>
            </w:r>
          </w:p>
          <w:p w:rsidR="00837892" w:rsidRPr="00E6257E" w:rsidRDefault="00E6257E" w:rsidP="00837892">
            <w:pPr>
              <w:rPr>
                <w:iCs/>
                <w:sz w:val="22"/>
                <w:szCs w:val="22"/>
                <w:lang w:val="el-GR"/>
              </w:rPr>
            </w:pPr>
            <w:r w:rsidRPr="00E6257E">
              <w:rPr>
                <w:iCs/>
                <w:sz w:val="22"/>
                <w:szCs w:val="22"/>
                <w:lang w:val="el-GR"/>
              </w:rPr>
              <w:t>Γραπτή τελική εξέταση</w:t>
            </w:r>
            <w:r w:rsidR="00837892" w:rsidRPr="00E6257E">
              <w:rPr>
                <w:iCs/>
                <w:sz w:val="22"/>
                <w:szCs w:val="22"/>
                <w:lang w:val="el-GR"/>
              </w:rPr>
              <w:t xml:space="preserve"> που περιλαμβάνει:</w:t>
            </w:r>
          </w:p>
          <w:p w:rsidR="00837892" w:rsidRPr="00E6257E" w:rsidRDefault="00E6257E" w:rsidP="00837892">
            <w:pPr>
              <w:ind w:left="267" w:hanging="267"/>
              <w:rPr>
                <w:iCs/>
                <w:sz w:val="22"/>
                <w:szCs w:val="22"/>
                <w:lang w:val="el-GR"/>
              </w:rPr>
            </w:pPr>
            <w:r w:rsidRPr="00E6257E">
              <w:rPr>
                <w:iCs/>
                <w:sz w:val="22"/>
                <w:szCs w:val="22"/>
                <w:lang w:val="el-GR"/>
              </w:rPr>
              <w:t>-</w:t>
            </w:r>
            <w:r w:rsidRPr="00E6257E">
              <w:rPr>
                <w:iCs/>
                <w:sz w:val="22"/>
                <w:szCs w:val="22"/>
                <w:lang w:val="el-GR"/>
              </w:rPr>
              <w:tab/>
              <w:t>Ερωτήσεις κλειστού τύπου</w:t>
            </w:r>
          </w:p>
          <w:p w:rsidR="00837892" w:rsidRPr="00E6257E" w:rsidRDefault="00837892" w:rsidP="00837892">
            <w:pPr>
              <w:ind w:left="267" w:hanging="267"/>
              <w:rPr>
                <w:iCs/>
                <w:sz w:val="22"/>
                <w:szCs w:val="22"/>
                <w:lang w:val="el-GR"/>
              </w:rPr>
            </w:pPr>
            <w:r w:rsidRPr="00E6257E">
              <w:rPr>
                <w:iCs/>
                <w:sz w:val="22"/>
                <w:szCs w:val="22"/>
                <w:lang w:val="el-GR"/>
              </w:rPr>
              <w:t>-   Θέματα σύντομης ανάπτυξης</w:t>
            </w:r>
          </w:p>
          <w:p w:rsidR="00837892" w:rsidRPr="00E6257E" w:rsidRDefault="00E6257E" w:rsidP="00837892">
            <w:pPr>
              <w:ind w:left="267" w:hanging="267"/>
              <w:rPr>
                <w:b/>
                <w:iCs/>
                <w:sz w:val="22"/>
                <w:szCs w:val="22"/>
                <w:lang w:val="el-GR"/>
              </w:rPr>
            </w:pPr>
            <w:r w:rsidRPr="00E6257E">
              <w:rPr>
                <w:b/>
                <w:iCs/>
                <w:sz w:val="22"/>
                <w:szCs w:val="22"/>
                <w:lang w:val="el-GR"/>
              </w:rPr>
              <w:t xml:space="preserve">Εργαστήριο </w:t>
            </w:r>
            <w:r w:rsidR="00837892" w:rsidRPr="00E6257E">
              <w:rPr>
                <w:b/>
                <w:iCs/>
                <w:sz w:val="22"/>
                <w:szCs w:val="22"/>
                <w:lang w:val="el-GR"/>
              </w:rPr>
              <w:t>(20%)</w:t>
            </w:r>
          </w:p>
          <w:p w:rsidR="009C54A3" w:rsidRPr="009C54A3" w:rsidRDefault="00844BAE" w:rsidP="00837892">
            <w:pPr>
              <w:ind w:left="267" w:hanging="267"/>
              <w:rPr>
                <w:iCs/>
                <w:sz w:val="22"/>
                <w:szCs w:val="22"/>
                <w:lang w:val="el-GR"/>
              </w:rPr>
            </w:pPr>
            <w:r w:rsidRPr="00E6257E">
              <w:rPr>
                <w:iCs/>
                <w:sz w:val="22"/>
                <w:szCs w:val="22"/>
                <w:lang w:val="el-GR"/>
              </w:rPr>
              <w:t xml:space="preserve"> Αναφορές </w:t>
            </w:r>
            <w:r w:rsidR="00837892" w:rsidRPr="00E6257E">
              <w:rPr>
                <w:iCs/>
                <w:sz w:val="22"/>
                <w:szCs w:val="22"/>
                <w:lang w:val="el-GR"/>
              </w:rPr>
              <w:t xml:space="preserve">επί των επιμέρους ασκήσεων </w:t>
            </w:r>
            <w:r w:rsidR="009C54A3">
              <w:rPr>
                <w:iCs/>
                <w:sz w:val="22"/>
                <w:szCs w:val="22"/>
                <w:lang w:val="el-GR"/>
              </w:rPr>
              <w:t>και γραπτή</w:t>
            </w:r>
          </w:p>
          <w:p w:rsidR="00837892" w:rsidRPr="00E6257E" w:rsidRDefault="00183793" w:rsidP="00837892">
            <w:pPr>
              <w:ind w:left="267" w:hanging="267"/>
              <w:rPr>
                <w:iCs/>
                <w:sz w:val="22"/>
                <w:szCs w:val="22"/>
                <w:lang w:val="el-GR"/>
              </w:rPr>
            </w:pPr>
            <w:r w:rsidRPr="00E6257E">
              <w:rPr>
                <w:iCs/>
                <w:sz w:val="22"/>
                <w:szCs w:val="22"/>
                <w:lang w:val="el-GR"/>
              </w:rPr>
              <w:t xml:space="preserve">αναφορά σε μορφή επιστημονικής </w:t>
            </w:r>
            <w:r w:rsidR="00844BAE" w:rsidRPr="00E6257E">
              <w:rPr>
                <w:iCs/>
                <w:sz w:val="22"/>
                <w:szCs w:val="22"/>
                <w:lang w:val="el-GR"/>
              </w:rPr>
              <w:t>δημοσίευσης</w:t>
            </w:r>
            <w:r w:rsidRPr="00E6257E">
              <w:rPr>
                <w:iCs/>
                <w:sz w:val="22"/>
                <w:szCs w:val="22"/>
                <w:lang w:val="el-GR"/>
              </w:rPr>
              <w:t xml:space="preserve"> </w:t>
            </w:r>
            <w:r w:rsidR="00837892" w:rsidRPr="00E6257E">
              <w:rPr>
                <w:iCs/>
                <w:sz w:val="22"/>
                <w:szCs w:val="22"/>
                <w:lang w:val="el-GR"/>
              </w:rPr>
              <w:t>(50%)</w:t>
            </w:r>
          </w:p>
          <w:p w:rsidR="00837892" w:rsidRPr="00E6257E" w:rsidRDefault="00837892" w:rsidP="00837892">
            <w:pPr>
              <w:ind w:left="267" w:hanging="267"/>
              <w:rPr>
                <w:iCs/>
                <w:sz w:val="22"/>
                <w:szCs w:val="22"/>
                <w:lang w:val="el-GR"/>
              </w:rPr>
            </w:pPr>
            <w:r w:rsidRPr="00E6257E">
              <w:rPr>
                <w:iCs/>
                <w:sz w:val="22"/>
                <w:szCs w:val="22"/>
                <w:lang w:val="el-GR"/>
              </w:rPr>
              <w:t xml:space="preserve"> Γραπτή τελική εξέταση (50%) που περιλαμβάνει</w:t>
            </w:r>
          </w:p>
          <w:p w:rsidR="00837892" w:rsidRPr="00E6257E" w:rsidRDefault="00F058FF" w:rsidP="00837892">
            <w:pPr>
              <w:ind w:left="267" w:hanging="267"/>
              <w:rPr>
                <w:iCs/>
                <w:sz w:val="22"/>
                <w:szCs w:val="22"/>
                <w:lang w:val="el-GR"/>
              </w:rPr>
            </w:pPr>
            <w:r w:rsidRPr="00E6257E">
              <w:rPr>
                <w:iCs/>
                <w:sz w:val="22"/>
                <w:szCs w:val="22"/>
                <w:lang w:val="el-GR"/>
              </w:rPr>
              <w:t>-  Ανάλυση</w:t>
            </w:r>
            <w:r w:rsidR="00837892" w:rsidRPr="00E6257E">
              <w:rPr>
                <w:iCs/>
                <w:sz w:val="22"/>
                <w:szCs w:val="22"/>
                <w:lang w:val="el-GR"/>
              </w:rPr>
              <w:t xml:space="preserve"> πειραματικών δεδομένων</w:t>
            </w:r>
          </w:p>
          <w:p w:rsidR="00F058FF" w:rsidRPr="00E6257E" w:rsidRDefault="00F058FF" w:rsidP="00837892">
            <w:pPr>
              <w:ind w:left="267" w:hanging="267"/>
              <w:rPr>
                <w:iCs/>
                <w:sz w:val="22"/>
                <w:szCs w:val="22"/>
                <w:lang w:val="el-GR"/>
              </w:rPr>
            </w:pPr>
            <w:r w:rsidRPr="00E6257E">
              <w:rPr>
                <w:iCs/>
                <w:sz w:val="22"/>
                <w:szCs w:val="22"/>
                <w:lang w:val="el-GR"/>
              </w:rPr>
              <w:t>-  Επίλυση ασκήσεων</w:t>
            </w: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F378BC" w:rsidTr="00955FA7">
        <w:tc>
          <w:tcPr>
            <w:tcW w:w="8472" w:type="dxa"/>
            <w:tcBorders>
              <w:top w:val="single" w:sz="4" w:space="0" w:color="auto"/>
              <w:left w:val="single" w:sz="4" w:space="0" w:color="auto"/>
              <w:bottom w:val="single" w:sz="4" w:space="0" w:color="auto"/>
              <w:right w:val="single" w:sz="4" w:space="0" w:color="auto"/>
            </w:tcBorders>
          </w:tcPr>
          <w:p w:rsidR="00955FA7" w:rsidRDefault="0025513A">
            <w:pPr>
              <w:jc w:val="both"/>
              <w:rPr>
                <w:rFonts w:ascii="Calibri" w:hAnsi="Calibri" w:cs="Arial"/>
                <w:i/>
                <w:sz w:val="16"/>
                <w:szCs w:val="16"/>
                <w:lang w:val="el-GR"/>
              </w:rPr>
            </w:pPr>
            <w:r>
              <w:rPr>
                <w:rFonts w:ascii="Calibri" w:hAnsi="Calibri" w:cs="Arial"/>
                <w:i/>
                <w:sz w:val="16"/>
                <w:szCs w:val="16"/>
                <w:lang w:val="el-GR"/>
              </w:rPr>
              <w:t xml:space="preserve"> </w:t>
            </w:r>
            <w:r w:rsidR="00955FA7">
              <w:rPr>
                <w:rFonts w:ascii="Calibri" w:hAnsi="Calibri" w:cs="Arial"/>
                <w:i/>
                <w:sz w:val="16"/>
                <w:szCs w:val="16"/>
                <w:lang w:val="el-GR"/>
              </w:rPr>
              <w:t>:</w:t>
            </w:r>
          </w:p>
          <w:p w:rsidR="00E6257E" w:rsidRDefault="00E6257E" w:rsidP="00E6257E">
            <w:pPr>
              <w:pStyle w:val="BodyTextIndent"/>
              <w:numPr>
                <w:ilvl w:val="0"/>
                <w:numId w:val="11"/>
              </w:numPr>
              <w:spacing w:after="0"/>
              <w:rPr>
                <w:color w:val="000000"/>
                <w:sz w:val="22"/>
                <w:szCs w:val="22"/>
                <w:lang w:val="el-GR"/>
              </w:rPr>
            </w:pPr>
            <w:r w:rsidRPr="008B41A6">
              <w:rPr>
                <w:color w:val="000000"/>
                <w:sz w:val="22"/>
                <w:szCs w:val="22"/>
              </w:rPr>
              <w:t>Berg</w:t>
            </w:r>
            <w:r w:rsidRPr="003D3AC5">
              <w:rPr>
                <w:color w:val="000000"/>
                <w:sz w:val="22"/>
                <w:szCs w:val="22"/>
                <w:lang w:val="en-GB"/>
              </w:rPr>
              <w:t xml:space="preserve"> </w:t>
            </w:r>
            <w:r w:rsidRPr="008B41A6">
              <w:rPr>
                <w:color w:val="000000"/>
                <w:sz w:val="22"/>
                <w:szCs w:val="22"/>
              </w:rPr>
              <w:t>J</w:t>
            </w:r>
            <w:r>
              <w:rPr>
                <w:color w:val="000000"/>
                <w:sz w:val="22"/>
                <w:szCs w:val="22"/>
              </w:rPr>
              <w:t>M</w:t>
            </w:r>
            <w:r w:rsidRPr="003D3AC5">
              <w:rPr>
                <w:color w:val="000000"/>
                <w:sz w:val="22"/>
                <w:szCs w:val="22"/>
                <w:lang w:val="en-GB"/>
              </w:rPr>
              <w:t xml:space="preserve">, </w:t>
            </w:r>
            <w:proofErr w:type="spellStart"/>
            <w:r w:rsidRPr="008B41A6">
              <w:rPr>
                <w:color w:val="000000"/>
                <w:sz w:val="22"/>
                <w:szCs w:val="22"/>
              </w:rPr>
              <w:t>Tymoczko</w:t>
            </w:r>
            <w:proofErr w:type="spellEnd"/>
            <w:r w:rsidRPr="003D3AC5">
              <w:rPr>
                <w:color w:val="000000"/>
                <w:sz w:val="22"/>
                <w:szCs w:val="22"/>
                <w:lang w:val="en-GB"/>
              </w:rPr>
              <w:t xml:space="preserve"> </w:t>
            </w:r>
            <w:r w:rsidRPr="008B41A6">
              <w:rPr>
                <w:color w:val="000000"/>
                <w:sz w:val="22"/>
                <w:szCs w:val="22"/>
              </w:rPr>
              <w:t>J</w:t>
            </w:r>
            <w:r>
              <w:rPr>
                <w:color w:val="000000"/>
                <w:sz w:val="22"/>
                <w:szCs w:val="22"/>
              </w:rPr>
              <w:t>L</w:t>
            </w:r>
            <w:r w:rsidRPr="003D3AC5">
              <w:rPr>
                <w:color w:val="000000"/>
                <w:sz w:val="22"/>
                <w:szCs w:val="22"/>
                <w:lang w:val="en-GB"/>
              </w:rPr>
              <w:t xml:space="preserve">, </w:t>
            </w:r>
            <w:proofErr w:type="spellStart"/>
            <w:r>
              <w:rPr>
                <w:color w:val="000000"/>
                <w:sz w:val="22"/>
                <w:szCs w:val="22"/>
              </w:rPr>
              <w:t>Gatto</w:t>
            </w:r>
            <w:proofErr w:type="spellEnd"/>
            <w:r w:rsidRPr="003D3AC5">
              <w:rPr>
                <w:color w:val="000000"/>
                <w:sz w:val="22"/>
                <w:szCs w:val="22"/>
                <w:lang w:val="en-GB"/>
              </w:rPr>
              <w:t xml:space="preserve"> </w:t>
            </w:r>
            <w:r>
              <w:rPr>
                <w:color w:val="000000"/>
                <w:sz w:val="22"/>
                <w:szCs w:val="22"/>
              </w:rPr>
              <w:t>GJ</w:t>
            </w:r>
            <w:r w:rsidRPr="003D3AC5">
              <w:rPr>
                <w:color w:val="000000"/>
                <w:sz w:val="22"/>
                <w:szCs w:val="22"/>
                <w:lang w:val="en-GB"/>
              </w:rPr>
              <w:t xml:space="preserve">, </w:t>
            </w:r>
            <w:proofErr w:type="spellStart"/>
            <w:r w:rsidRPr="008B41A6">
              <w:rPr>
                <w:color w:val="000000"/>
                <w:sz w:val="22"/>
                <w:szCs w:val="22"/>
              </w:rPr>
              <w:t>Stryer</w:t>
            </w:r>
            <w:proofErr w:type="spellEnd"/>
            <w:r w:rsidRPr="003D3AC5">
              <w:rPr>
                <w:color w:val="000000"/>
                <w:sz w:val="22"/>
                <w:szCs w:val="22"/>
                <w:lang w:val="en-GB"/>
              </w:rPr>
              <w:t xml:space="preserve"> </w:t>
            </w:r>
            <w:r w:rsidRPr="008B41A6">
              <w:rPr>
                <w:color w:val="000000"/>
                <w:sz w:val="22"/>
                <w:szCs w:val="22"/>
              </w:rPr>
              <w:t>L</w:t>
            </w:r>
            <w:r w:rsidRPr="003D3AC5">
              <w:rPr>
                <w:color w:val="000000"/>
                <w:sz w:val="22"/>
                <w:szCs w:val="22"/>
                <w:lang w:val="en-GB"/>
              </w:rPr>
              <w:t xml:space="preserve">. </w:t>
            </w:r>
            <w:hyperlink r:id="rId6" w:history="1"/>
            <w:r w:rsidRPr="003D3AC5">
              <w:rPr>
                <w:color w:val="000000"/>
                <w:sz w:val="22"/>
                <w:szCs w:val="22"/>
                <w:lang w:val="en-GB"/>
              </w:rPr>
              <w:t xml:space="preserve"> </w:t>
            </w:r>
            <w:r>
              <w:rPr>
                <w:color w:val="000000"/>
                <w:sz w:val="22"/>
                <w:szCs w:val="22"/>
                <w:lang w:val="en-GB"/>
              </w:rPr>
              <w:t>B</w:t>
            </w:r>
            <w:r>
              <w:rPr>
                <w:color w:val="000000"/>
                <w:sz w:val="22"/>
                <w:szCs w:val="22"/>
                <w:lang w:val="el-GR"/>
              </w:rPr>
              <w:t xml:space="preserve">ιοχημεία, Πανεπιστημιακές εκδόσεις Κρήτης </w:t>
            </w:r>
            <w:r w:rsidRPr="007B4EC5">
              <w:rPr>
                <w:color w:val="000000"/>
                <w:sz w:val="22"/>
                <w:szCs w:val="22"/>
                <w:lang w:val="el-GR"/>
              </w:rPr>
              <w:t>(</w:t>
            </w:r>
            <w:r w:rsidR="00F378BC">
              <w:rPr>
                <w:color w:val="000000"/>
                <w:sz w:val="22"/>
                <w:szCs w:val="22"/>
                <w:lang w:val="el-GR"/>
              </w:rPr>
              <w:t>9</w:t>
            </w:r>
            <w:r>
              <w:rPr>
                <w:color w:val="000000"/>
                <w:sz w:val="22"/>
                <w:szCs w:val="22"/>
                <w:lang w:val="el-GR"/>
              </w:rPr>
              <w:t>η αμερικάνικη έκδοση)</w:t>
            </w:r>
          </w:p>
          <w:p w:rsidR="00955FA7" w:rsidRPr="00E6257E" w:rsidRDefault="00E6257E" w:rsidP="00E6257E">
            <w:pPr>
              <w:pStyle w:val="BodyTextIndent"/>
              <w:numPr>
                <w:ilvl w:val="0"/>
                <w:numId w:val="11"/>
              </w:numPr>
              <w:spacing w:after="0"/>
              <w:rPr>
                <w:color w:val="000000"/>
                <w:sz w:val="22"/>
                <w:szCs w:val="22"/>
                <w:lang w:val="el-GR"/>
              </w:rPr>
            </w:pPr>
            <w:r w:rsidRPr="00E6257E">
              <w:rPr>
                <w:color w:val="000000"/>
                <w:sz w:val="22"/>
                <w:szCs w:val="22"/>
              </w:rPr>
              <w:t>Nelson</w:t>
            </w:r>
            <w:r w:rsidRPr="00E6257E">
              <w:rPr>
                <w:color w:val="000000"/>
                <w:sz w:val="22"/>
                <w:szCs w:val="22"/>
                <w:lang w:val="el-GR"/>
              </w:rPr>
              <w:t xml:space="preserve"> </w:t>
            </w:r>
            <w:r w:rsidRPr="00E6257E">
              <w:rPr>
                <w:color w:val="000000"/>
                <w:sz w:val="22"/>
                <w:szCs w:val="22"/>
              </w:rPr>
              <w:t>DL</w:t>
            </w:r>
            <w:r w:rsidRPr="00E6257E">
              <w:rPr>
                <w:color w:val="000000"/>
                <w:sz w:val="22"/>
                <w:szCs w:val="22"/>
                <w:lang w:val="el-GR"/>
              </w:rPr>
              <w:t xml:space="preserve">, </w:t>
            </w:r>
            <w:r w:rsidRPr="00E6257E">
              <w:rPr>
                <w:color w:val="000000"/>
                <w:sz w:val="22"/>
                <w:szCs w:val="22"/>
              </w:rPr>
              <w:t>Cox</w:t>
            </w:r>
            <w:r w:rsidRPr="00E6257E">
              <w:rPr>
                <w:color w:val="000000"/>
                <w:sz w:val="22"/>
                <w:szCs w:val="22"/>
                <w:lang w:val="el-GR"/>
              </w:rPr>
              <w:t xml:space="preserve"> </w:t>
            </w:r>
            <w:r w:rsidRPr="00E6257E">
              <w:rPr>
                <w:color w:val="000000"/>
                <w:sz w:val="22"/>
                <w:szCs w:val="22"/>
              </w:rPr>
              <w:t>MM</w:t>
            </w:r>
            <w:r w:rsidRPr="00E6257E">
              <w:rPr>
                <w:color w:val="000000"/>
                <w:sz w:val="22"/>
                <w:szCs w:val="22"/>
                <w:lang w:val="el-GR"/>
              </w:rPr>
              <w:t xml:space="preserve">. </w:t>
            </w:r>
            <w:proofErr w:type="spellStart"/>
            <w:r w:rsidRPr="00E6257E">
              <w:rPr>
                <w:color w:val="000000"/>
                <w:sz w:val="22"/>
                <w:szCs w:val="22"/>
              </w:rPr>
              <w:t>Lehninger</w:t>
            </w:r>
            <w:proofErr w:type="spellEnd"/>
            <w:r w:rsidRPr="00E6257E">
              <w:rPr>
                <w:color w:val="000000"/>
                <w:sz w:val="22"/>
                <w:szCs w:val="22"/>
                <w:lang w:val="el-GR"/>
              </w:rPr>
              <w:t>'</w:t>
            </w:r>
            <w:r w:rsidRPr="00E6257E">
              <w:rPr>
                <w:color w:val="000000"/>
                <w:sz w:val="22"/>
                <w:szCs w:val="22"/>
              </w:rPr>
              <w:t>s</w:t>
            </w:r>
            <w:r w:rsidRPr="00E6257E">
              <w:rPr>
                <w:color w:val="000000"/>
                <w:sz w:val="22"/>
                <w:szCs w:val="22"/>
                <w:lang w:val="el-GR"/>
              </w:rPr>
              <w:t xml:space="preserve"> </w:t>
            </w:r>
            <w:r w:rsidRPr="00E6257E">
              <w:rPr>
                <w:bCs/>
                <w:color w:val="000000"/>
                <w:sz w:val="22"/>
                <w:szCs w:val="22"/>
                <w:lang w:val="el-GR"/>
              </w:rPr>
              <w:t>Βασικές Αρχές Βιοχημείας, Εκδόσεις Πασχαλίδης (7η αγγλική έκδοση)</w:t>
            </w:r>
          </w:p>
          <w:p w:rsidR="00955FA7" w:rsidRPr="00E6257E" w:rsidRDefault="00955FA7">
            <w:pPr>
              <w:jc w:val="both"/>
              <w:rPr>
                <w:rFonts w:ascii="Calibri" w:hAnsi="Calibri" w:cs="Arial"/>
                <w:color w:val="002060"/>
                <w:lang w:val="el-GR"/>
              </w:rPr>
            </w:pPr>
          </w:p>
          <w:p w:rsidR="00955FA7" w:rsidRPr="00E6257E" w:rsidRDefault="00955FA7">
            <w:pPr>
              <w:jc w:val="both"/>
              <w:rPr>
                <w:rFonts w:ascii="Calibri" w:hAnsi="Calibri" w:cs="Arial"/>
                <w:b/>
                <w:lang w:val="el-GR"/>
              </w:rPr>
            </w:pPr>
          </w:p>
        </w:tc>
      </w:tr>
    </w:tbl>
    <w:p w:rsidR="00955FA7" w:rsidRPr="00E6257E"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E6257E" w:rsidRDefault="00BE7D61">
      <w:pPr>
        <w:rPr>
          <w:lang w:val="el-GR"/>
        </w:rPr>
      </w:pPr>
    </w:p>
    <w:sectPr w:rsidR="00BE7D61" w:rsidRPr="00E6257E"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Antiqua">
    <w:altName w:val="MS Mincho"/>
    <w:panose1 w:val="00000000000000000000"/>
    <w:charset w:val="80"/>
    <w:family w:val="auto"/>
    <w:notTrueType/>
    <w:pitch w:val="default"/>
    <w:sig w:usb0="00000000" w:usb1="08070000" w:usb2="00000010" w:usb3="00000000" w:csb0="00020009"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8D6"/>
    <w:multiLevelType w:val="hybridMultilevel"/>
    <w:tmpl w:val="DB502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C825EB"/>
    <w:multiLevelType w:val="hybridMultilevel"/>
    <w:tmpl w:val="CD7204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11EC4AB6"/>
    <w:multiLevelType w:val="hybridMultilevel"/>
    <w:tmpl w:val="DAB02870"/>
    <w:lvl w:ilvl="0" w:tplc="EBF816E2">
      <w:start w:val="3"/>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79596A"/>
    <w:multiLevelType w:val="hybridMultilevel"/>
    <w:tmpl w:val="180A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EF3E80"/>
    <w:multiLevelType w:val="hybridMultilevel"/>
    <w:tmpl w:val="F7D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626780"/>
    <w:multiLevelType w:val="hybridMultilevel"/>
    <w:tmpl w:val="C178CF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02B4E32"/>
    <w:multiLevelType w:val="hybridMultilevel"/>
    <w:tmpl w:val="44F4987E"/>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15"/>
  </w:num>
  <w:num w:numId="7">
    <w:abstractNumId w:val="14"/>
  </w:num>
  <w:num w:numId="8">
    <w:abstractNumId w:val="9"/>
  </w:num>
  <w:num w:numId="9">
    <w:abstractNumId w:val="10"/>
  </w:num>
  <w:num w:numId="10">
    <w:abstractNumId w:val="1"/>
  </w:num>
  <w:num w:numId="11">
    <w:abstractNumId w:val="8"/>
  </w:num>
  <w:num w:numId="12">
    <w:abstractNumId w:val="13"/>
  </w:num>
  <w:num w:numId="13">
    <w:abstractNumId w:val="12"/>
  </w:num>
  <w:num w:numId="14">
    <w:abstractNumId w:val="0"/>
  </w:num>
  <w:num w:numId="15">
    <w:abstractNumId w:val="3"/>
  </w:num>
  <w:num w:numId="16">
    <w:abstractNumId w:val="2"/>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955FA7"/>
    <w:rsid w:val="00037887"/>
    <w:rsid w:val="00061290"/>
    <w:rsid w:val="00086B31"/>
    <w:rsid w:val="000A159A"/>
    <w:rsid w:val="000B59FF"/>
    <w:rsid w:val="000E33F3"/>
    <w:rsid w:val="000E60CA"/>
    <w:rsid w:val="00183793"/>
    <w:rsid w:val="00186F05"/>
    <w:rsid w:val="00211FD4"/>
    <w:rsid w:val="00226D81"/>
    <w:rsid w:val="002447EA"/>
    <w:rsid w:val="0025513A"/>
    <w:rsid w:val="00290760"/>
    <w:rsid w:val="002B525E"/>
    <w:rsid w:val="002E4DE6"/>
    <w:rsid w:val="00331E7F"/>
    <w:rsid w:val="003F6C90"/>
    <w:rsid w:val="00400C7D"/>
    <w:rsid w:val="00420A7D"/>
    <w:rsid w:val="00442520"/>
    <w:rsid w:val="00476462"/>
    <w:rsid w:val="004E34BA"/>
    <w:rsid w:val="004E5153"/>
    <w:rsid w:val="004F5FFB"/>
    <w:rsid w:val="005214CF"/>
    <w:rsid w:val="005525E3"/>
    <w:rsid w:val="00590B6C"/>
    <w:rsid w:val="005B4C97"/>
    <w:rsid w:val="005C742E"/>
    <w:rsid w:val="00630924"/>
    <w:rsid w:val="00634618"/>
    <w:rsid w:val="006737B6"/>
    <w:rsid w:val="006A08B5"/>
    <w:rsid w:val="006D49ED"/>
    <w:rsid w:val="00700B15"/>
    <w:rsid w:val="00746DA4"/>
    <w:rsid w:val="007B6842"/>
    <w:rsid w:val="007C5B87"/>
    <w:rsid w:val="00806709"/>
    <w:rsid w:val="0082469C"/>
    <w:rsid w:val="00837892"/>
    <w:rsid w:val="00844BAE"/>
    <w:rsid w:val="008A0FA3"/>
    <w:rsid w:val="008A1E08"/>
    <w:rsid w:val="00903F26"/>
    <w:rsid w:val="00925974"/>
    <w:rsid w:val="00955FA7"/>
    <w:rsid w:val="0096055A"/>
    <w:rsid w:val="0096413D"/>
    <w:rsid w:val="009C54A3"/>
    <w:rsid w:val="00A07A67"/>
    <w:rsid w:val="00A32EE2"/>
    <w:rsid w:val="00A57DCE"/>
    <w:rsid w:val="00A7130F"/>
    <w:rsid w:val="00AE3AEC"/>
    <w:rsid w:val="00AE6B15"/>
    <w:rsid w:val="00B024F0"/>
    <w:rsid w:val="00B150F0"/>
    <w:rsid w:val="00B70532"/>
    <w:rsid w:val="00B8786F"/>
    <w:rsid w:val="00BA2CEE"/>
    <w:rsid w:val="00BE7D61"/>
    <w:rsid w:val="00C07926"/>
    <w:rsid w:val="00C25539"/>
    <w:rsid w:val="00C40A0A"/>
    <w:rsid w:val="00CB0EEA"/>
    <w:rsid w:val="00CB23CE"/>
    <w:rsid w:val="00D058E5"/>
    <w:rsid w:val="00D95477"/>
    <w:rsid w:val="00DD3FEF"/>
    <w:rsid w:val="00E56684"/>
    <w:rsid w:val="00E6257E"/>
    <w:rsid w:val="00E65969"/>
    <w:rsid w:val="00ED0C78"/>
    <w:rsid w:val="00F058FF"/>
    <w:rsid w:val="00F378BC"/>
    <w:rsid w:val="00F46EB9"/>
    <w:rsid w:val="00FA0DDB"/>
    <w:rsid w:val="00FE2F06"/>
    <w:rsid w:val="00FF21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uiPriority w:val="9"/>
    <w:rsid w:val="00CB0EEA"/>
    <w:rPr>
      <w:rFonts w:ascii="Calibri" w:hAnsi="Calibri"/>
      <w:b/>
      <w:bCs/>
      <w:sz w:val="28"/>
      <w:szCs w:val="28"/>
      <w:lang w:eastAsia="en-US"/>
    </w:rPr>
  </w:style>
  <w:style w:type="table" w:styleId="TableGrid">
    <w:name w:val="Table Grid"/>
    <w:basedOn w:val="TableNormal"/>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49ED"/>
    <w:pPr>
      <w:spacing w:after="200" w:line="276" w:lineRule="auto"/>
      <w:ind w:left="720"/>
      <w:contextualSpacing/>
    </w:pPr>
    <w:rPr>
      <w:rFonts w:ascii="Calibri" w:eastAsia="Calibri" w:hAnsi="Calibri"/>
      <w:sz w:val="22"/>
      <w:szCs w:val="22"/>
      <w:lang w:val="el-GR"/>
    </w:rPr>
  </w:style>
  <w:style w:type="paragraph" w:styleId="BodyTextIndent">
    <w:name w:val="Body Text Indent"/>
    <w:basedOn w:val="Normal"/>
    <w:link w:val="BodyTextIndentChar"/>
    <w:rsid w:val="0025513A"/>
    <w:pPr>
      <w:spacing w:after="120"/>
      <w:ind w:left="283"/>
    </w:pPr>
  </w:style>
  <w:style w:type="character" w:customStyle="1" w:styleId="BodyTextIndentChar">
    <w:name w:val="Body Text Indent Char"/>
    <w:basedOn w:val="DefaultParagraphFont"/>
    <w:link w:val="BodyTextIndent"/>
    <w:rsid w:val="0025513A"/>
    <w:rPr>
      <w:sz w:val="24"/>
      <w:szCs w:val="24"/>
      <w:lang w:val="en-US" w:eastAsia="en-US"/>
    </w:rPr>
  </w:style>
  <w:style w:type="paragraph" w:styleId="NormalWeb">
    <w:name w:val="Normal (Web)"/>
    <w:basedOn w:val="Normal"/>
    <w:unhideWhenUsed/>
    <w:rsid w:val="0025513A"/>
    <w:pPr>
      <w:spacing w:before="100" w:beforeAutospacing="1" w:after="100" w:afterAutospacing="1"/>
    </w:pPr>
    <w:rPr>
      <w:color w:val="555555"/>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p.gr/catalogue/book.asp?bookID=1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3EC0-0153-4A2D-9463-DE6EE92E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927</Words>
  <Characters>5286</Characters>
  <Application>Microsoft Office Word</Application>
  <DocSecurity>0</DocSecurity>
  <Lines>44</Lines>
  <Paragraphs>12</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1</vt:i4>
      </vt:variant>
    </vt:vector>
  </HeadingPairs>
  <TitlesOfParts>
    <vt:vector size="3" baseType="lpstr">
      <vt:lpstr/>
      <vt:lpstr/>
      <vt:lpstr>3. Περιγράμματα Μαθημάτων Προγράμματος Σπουδών</vt:lpstr>
    </vt:vector>
  </TitlesOfParts>
  <Company>Hewlett-Packard Company</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Filiou</cp:lastModifiedBy>
  <cp:revision>2</cp:revision>
  <dcterms:created xsi:type="dcterms:W3CDTF">2022-02-24T08:49:00Z</dcterms:created>
  <dcterms:modified xsi:type="dcterms:W3CDTF">2022-02-24T08:49:00Z</dcterms:modified>
</cp:coreProperties>
</file>