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EB" w:rsidRPr="004E6B0C" w:rsidRDefault="005D23EB" w:rsidP="008671BA">
      <w:pPr>
        <w:spacing w:before="120" w:line="276" w:lineRule="auto"/>
        <w:ind w:firstLine="357"/>
        <w:jc w:val="center"/>
        <w:rPr>
          <w:rFonts w:asciiTheme="majorHAnsi" w:hAnsiTheme="majorHAnsi" w:cs="Arial"/>
          <w:lang w:val="en-GB"/>
        </w:rPr>
      </w:pPr>
      <w:bookmarkStart w:id="0" w:name="_Toc181708547"/>
      <w:r w:rsidRPr="004E6B0C">
        <w:rPr>
          <w:rFonts w:asciiTheme="majorHAnsi" w:hAnsiTheme="majorHAnsi" w:cs="Arial"/>
          <w:b/>
          <w:lang w:val="en-GB"/>
        </w:rPr>
        <w:t>COURSE OUTLINE</w:t>
      </w:r>
    </w:p>
    <w:p w:rsidR="005D23EB" w:rsidRPr="004E6B0C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E6B0C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BD701B" w:rsidRPr="004E6B0C" w:rsidTr="00C822F5">
        <w:tc>
          <w:tcPr>
            <w:tcW w:w="3205" w:type="dxa"/>
            <w:shd w:val="clear" w:color="auto" w:fill="DDD9C3"/>
          </w:tcPr>
          <w:p w:rsidR="00BD701B" w:rsidRPr="004E6B0C" w:rsidRDefault="00BD701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</w:tcPr>
          <w:p w:rsidR="00BD701B" w:rsidRPr="004E6B0C" w:rsidRDefault="00BD701B" w:rsidP="002033B0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SCHOOL OF HEALTH SCIENCES</w:t>
            </w:r>
          </w:p>
        </w:tc>
      </w:tr>
      <w:tr w:rsidR="00BD701B" w:rsidRPr="004E6B0C" w:rsidTr="00C822F5">
        <w:tc>
          <w:tcPr>
            <w:tcW w:w="3205" w:type="dxa"/>
            <w:shd w:val="clear" w:color="auto" w:fill="DDD9C3"/>
          </w:tcPr>
          <w:p w:rsidR="00BD701B" w:rsidRPr="004E6B0C" w:rsidRDefault="00BD701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</w:tcPr>
          <w:p w:rsidR="00BD701B" w:rsidRPr="004E6B0C" w:rsidRDefault="00BD701B" w:rsidP="002033B0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BIOLOGICAL AND TECHNOLOGICAL APPLICATIONS</w:t>
            </w:r>
          </w:p>
        </w:tc>
      </w:tr>
      <w:tr w:rsidR="00BD701B" w:rsidRPr="004E6B0C" w:rsidTr="00C822F5">
        <w:tc>
          <w:tcPr>
            <w:tcW w:w="3205" w:type="dxa"/>
            <w:shd w:val="clear" w:color="auto" w:fill="DDD9C3"/>
          </w:tcPr>
          <w:p w:rsidR="00BD701B" w:rsidRPr="004E6B0C" w:rsidRDefault="00BD701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:rsidR="00BD701B" w:rsidRPr="004E6B0C" w:rsidRDefault="00BD701B" w:rsidP="002033B0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UNDERGRADUATE</w:t>
            </w:r>
          </w:p>
        </w:tc>
      </w:tr>
      <w:tr w:rsidR="005D23EB" w:rsidRPr="004E6B0C" w:rsidTr="00C822F5">
        <w:tc>
          <w:tcPr>
            <w:tcW w:w="3205" w:type="dxa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:rsidR="005D23EB" w:rsidRPr="004E6B0C" w:rsidRDefault="00F307FF" w:rsidP="00C822F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  <w:r w:rsidRPr="004E6B0C">
              <w:rPr>
                <w:rFonts w:asciiTheme="majorHAnsi" w:hAnsiTheme="majorHAnsi" w:cs="Arial"/>
                <w:sz w:val="20"/>
                <w:szCs w:val="20"/>
                <w:lang w:val="el-GR"/>
              </w:rPr>
              <w:t>ΒΕΕ714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5D23EB" w:rsidRPr="004E6B0C" w:rsidRDefault="00F307FF" w:rsidP="00F307F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>7</w:t>
            </w:r>
            <w:proofErr w:type="spellStart"/>
            <w:r w:rsidRPr="004E6B0C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 xml:space="preserve"> -9</w:t>
            </w:r>
            <w:proofErr w:type="spellStart"/>
            <w:r w:rsidRPr="004E6B0C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th</w:t>
            </w:r>
            <w:proofErr w:type="spellEnd"/>
          </w:p>
        </w:tc>
      </w:tr>
      <w:tr w:rsidR="005D23EB" w:rsidRPr="004E6B0C" w:rsidTr="00C822F5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5D23EB" w:rsidRPr="004E6B0C" w:rsidRDefault="00F307FF" w:rsidP="00C822F5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sz w:val="20"/>
                <w:szCs w:val="20"/>
                <w:lang w:val="en-GB"/>
              </w:rPr>
              <w:t>ETHOLOGY - BIOLOGY</w:t>
            </w:r>
          </w:p>
        </w:tc>
      </w:tr>
      <w:tr w:rsidR="005D23EB" w:rsidRPr="004E6B0C" w:rsidTr="00C822F5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5D23EB" w:rsidRPr="004E6B0C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4E6B0C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4E6B0C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4E6B0C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5D23EB" w:rsidRPr="004E6B0C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5D23EB" w:rsidRPr="004E6B0C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F307FF" w:rsidRPr="004E6B0C" w:rsidTr="00C822F5">
        <w:trPr>
          <w:trHeight w:val="194"/>
        </w:trPr>
        <w:tc>
          <w:tcPr>
            <w:tcW w:w="5637" w:type="dxa"/>
            <w:gridSpan w:val="3"/>
          </w:tcPr>
          <w:p w:rsidR="00F307FF" w:rsidRPr="004E6B0C" w:rsidRDefault="00F307FF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F307FF" w:rsidRPr="004E6B0C" w:rsidRDefault="00F307FF" w:rsidP="002033B0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</w:pPr>
            <w:r w:rsidRPr="004E6B0C"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</w:tcPr>
          <w:p w:rsidR="00F307FF" w:rsidRPr="004E6B0C" w:rsidRDefault="00F307FF" w:rsidP="002033B0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</w:pPr>
            <w:r w:rsidRPr="004E6B0C"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  <w:t>5</w:t>
            </w:r>
          </w:p>
        </w:tc>
      </w:tr>
      <w:tr w:rsidR="005D23EB" w:rsidRPr="004E6B0C" w:rsidTr="00C822F5">
        <w:trPr>
          <w:trHeight w:val="194"/>
        </w:trPr>
        <w:tc>
          <w:tcPr>
            <w:tcW w:w="5637" w:type="dxa"/>
            <w:gridSpan w:val="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4E6B0C" w:rsidTr="00C822F5">
        <w:trPr>
          <w:trHeight w:val="194"/>
        </w:trPr>
        <w:tc>
          <w:tcPr>
            <w:tcW w:w="5637" w:type="dxa"/>
            <w:gridSpan w:val="3"/>
          </w:tcPr>
          <w:p w:rsidR="005D23EB" w:rsidRPr="004E6B0C" w:rsidRDefault="005D23EB" w:rsidP="00C822F5">
            <w:pPr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4E6B0C" w:rsidTr="00C822F5">
        <w:trPr>
          <w:trHeight w:val="194"/>
        </w:trPr>
        <w:tc>
          <w:tcPr>
            <w:tcW w:w="5637" w:type="dxa"/>
            <w:gridSpan w:val="3"/>
            <w:shd w:val="clear" w:color="auto" w:fill="DDD9C3"/>
          </w:tcPr>
          <w:p w:rsidR="005D23EB" w:rsidRPr="004E6B0C" w:rsidRDefault="005D23EB" w:rsidP="00C822F5">
            <w:pPr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4E6B0C" w:rsidTr="00C822F5">
        <w:trPr>
          <w:trHeight w:val="599"/>
        </w:trPr>
        <w:tc>
          <w:tcPr>
            <w:tcW w:w="3205" w:type="dxa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TYPE</w:t>
            </w: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:rsidR="00F307FF" w:rsidRPr="004E6B0C" w:rsidRDefault="00F307FF" w:rsidP="00C822F5">
            <w:pPr>
              <w:rPr>
                <w:rFonts w:asciiTheme="majorHAnsi" w:hAnsiTheme="majorHAnsi" w:cs="Arial"/>
                <w:sz w:val="22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sz w:val="22"/>
                <w:szCs w:val="16"/>
                <w:lang w:val="en-GB"/>
              </w:rPr>
              <w:t>Specialised general knowledge</w:t>
            </w:r>
          </w:p>
          <w:p w:rsidR="005D23EB" w:rsidRPr="004E6B0C" w:rsidRDefault="00F307FF" w:rsidP="00F307FF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sz w:val="22"/>
                <w:szCs w:val="16"/>
                <w:lang w:val="en-GB"/>
              </w:rPr>
              <w:t>Skills development</w:t>
            </w:r>
          </w:p>
        </w:tc>
      </w:tr>
      <w:tr w:rsidR="005D23EB" w:rsidRPr="004E6B0C" w:rsidTr="00C822F5">
        <w:tc>
          <w:tcPr>
            <w:tcW w:w="3205" w:type="dxa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4E6B0C" w:rsidTr="00C822F5">
        <w:tc>
          <w:tcPr>
            <w:tcW w:w="3205" w:type="dxa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:rsidR="005D23EB" w:rsidRPr="004E6B0C" w:rsidRDefault="00F307FF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</w:rPr>
            </w:pPr>
            <w:r w:rsidRPr="004E6B0C">
              <w:rPr>
                <w:rFonts w:asciiTheme="majorHAnsi" w:hAnsiTheme="majorHAnsi" w:cs="Arial"/>
                <w:color w:val="002060"/>
                <w:sz w:val="20"/>
                <w:szCs w:val="20"/>
              </w:rPr>
              <w:t>GREEK</w:t>
            </w:r>
          </w:p>
        </w:tc>
      </w:tr>
      <w:tr w:rsidR="005D23EB" w:rsidRPr="004E6B0C" w:rsidTr="00C822F5">
        <w:tc>
          <w:tcPr>
            <w:tcW w:w="3205" w:type="dxa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</w:tcPr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4E6B0C" w:rsidTr="00C822F5">
        <w:tc>
          <w:tcPr>
            <w:tcW w:w="3205" w:type="dxa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:rsidR="005D23EB" w:rsidRPr="004E6B0C" w:rsidRDefault="005D23EB" w:rsidP="00C822F5">
            <w:pPr>
              <w:spacing w:after="200" w:line="276" w:lineRule="auto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5D23EB" w:rsidRPr="004E6B0C" w:rsidRDefault="005D23EB" w:rsidP="008671BA">
      <w:pPr>
        <w:rPr>
          <w:rFonts w:asciiTheme="majorHAnsi" w:hAnsiTheme="majorHAnsi"/>
          <w:lang w:val="en-GB"/>
        </w:rPr>
      </w:pPr>
    </w:p>
    <w:p w:rsidR="005D23EB" w:rsidRPr="004E6B0C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E6B0C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5D23EB" w:rsidRPr="004E6B0C" w:rsidTr="00C822F5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4E6B0C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5D23EB" w:rsidRPr="004E6B0C" w:rsidTr="00C822F5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5D23EB" w:rsidRPr="004E6B0C" w:rsidRDefault="005D23EB" w:rsidP="00C822F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5D23EB" w:rsidRPr="004E6B0C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5D23EB" w:rsidRPr="004E6B0C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5D23EB" w:rsidRPr="004E6B0C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5D23EB" w:rsidRPr="004E6B0C" w:rsidTr="00C822F5">
        <w:tc>
          <w:tcPr>
            <w:tcW w:w="8472" w:type="dxa"/>
            <w:gridSpan w:val="2"/>
          </w:tcPr>
          <w:p w:rsidR="009C5858" w:rsidRPr="004E6B0C" w:rsidRDefault="009C5858" w:rsidP="009C5858">
            <w:pPr>
              <w:rPr>
                <w:rFonts w:asciiTheme="majorHAnsi" w:hAnsiTheme="majorHAnsi" w:cs="Calibri"/>
                <w:szCs w:val="20"/>
              </w:rPr>
            </w:pPr>
            <w:r w:rsidRPr="004E6B0C">
              <w:rPr>
                <w:rFonts w:asciiTheme="majorHAnsi" w:hAnsiTheme="majorHAnsi" w:cs="Calibri"/>
                <w:sz w:val="22"/>
                <w:szCs w:val="20"/>
              </w:rPr>
              <w:t xml:space="preserve">Students are expected to: </w:t>
            </w:r>
          </w:p>
          <w:p w:rsidR="009C5858" w:rsidRPr="004E6B0C" w:rsidRDefault="009C5858" w:rsidP="00B04C5E">
            <w:pPr>
              <w:pStyle w:val="ab"/>
              <w:numPr>
                <w:ilvl w:val="0"/>
                <w:numId w:val="45"/>
              </w:numPr>
              <w:rPr>
                <w:rFonts w:asciiTheme="majorHAnsi" w:hAnsiTheme="majorHAnsi" w:cs="Calibri"/>
                <w:szCs w:val="20"/>
                <w:lang w:val="en-US"/>
              </w:rPr>
            </w:pPr>
            <w:r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Objectively understand the different views that have been developed about how human behavior has been determined by biology, as well as by </w:t>
            </w:r>
            <w:r w:rsidR="00571D8C"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the </w:t>
            </w:r>
            <w:r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environment and culture. </w:t>
            </w:r>
          </w:p>
          <w:p w:rsidR="00B04C5E" w:rsidRPr="004E6B0C" w:rsidRDefault="009C5858" w:rsidP="004E6B0C">
            <w:pPr>
              <w:pStyle w:val="ab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Recognize </w:t>
            </w:r>
            <w:r w:rsidR="00B04C5E"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those </w:t>
            </w:r>
            <w:r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similarities and </w:t>
            </w:r>
            <w:r w:rsidR="00B04C5E" w:rsidRPr="004E6B0C">
              <w:rPr>
                <w:rFonts w:asciiTheme="majorHAnsi" w:hAnsiTheme="majorHAnsi" w:cs="Calibri"/>
                <w:szCs w:val="20"/>
                <w:lang w:val="en-US"/>
              </w:rPr>
              <w:t>differences</w:t>
            </w:r>
            <w:r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 between human</w:t>
            </w:r>
            <w:r w:rsidR="00571D8C" w:rsidRPr="004E6B0C">
              <w:rPr>
                <w:rFonts w:asciiTheme="majorHAnsi" w:hAnsiTheme="majorHAnsi" w:cs="Calibri"/>
                <w:szCs w:val="20"/>
                <w:lang w:val="en-US"/>
              </w:rPr>
              <w:t>s</w:t>
            </w:r>
            <w:r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 and primates</w:t>
            </w:r>
            <w:r w:rsidR="00B04C5E"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 that prove their </w:t>
            </w:r>
            <w:r w:rsidR="00571D8C" w:rsidRPr="004E6B0C">
              <w:rPr>
                <w:rFonts w:asciiTheme="majorHAnsi" w:hAnsiTheme="majorHAnsi" w:cs="Calibri"/>
                <w:szCs w:val="20"/>
                <w:lang w:val="en-US"/>
              </w:rPr>
              <w:t>relation</w:t>
            </w:r>
            <w:r w:rsidR="00B04C5E" w:rsidRPr="004E6B0C">
              <w:rPr>
                <w:rFonts w:asciiTheme="majorHAnsi" w:hAnsiTheme="majorHAnsi" w:cs="Calibri"/>
                <w:szCs w:val="20"/>
                <w:lang w:val="en-US"/>
              </w:rPr>
              <w:t xml:space="preserve"> and common genetic base along with their differentiation through evolution</w:t>
            </w:r>
            <w:r w:rsidR="00B04C5E" w:rsidRPr="004E6B0C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. </w:t>
            </w:r>
          </w:p>
        </w:tc>
      </w:tr>
      <w:tr w:rsidR="005D23EB" w:rsidRPr="004E6B0C" w:rsidTr="00C822F5">
        <w:tblPrEx>
          <w:tblLook w:val="000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4E6B0C" w:rsidRDefault="005D23EB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5D23EB" w:rsidRPr="004E6B0C" w:rsidTr="00C822F5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5D23EB" w:rsidRPr="004E6B0C" w:rsidTr="00C822F5">
        <w:tblPrEx>
          <w:tblLook w:val="000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Team work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5D23EB" w:rsidRPr="004E6B0C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5D23EB" w:rsidRPr="004E6B0C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……</w:t>
            </w:r>
          </w:p>
          <w:p w:rsidR="005D23EB" w:rsidRPr="004E6B0C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Others…</w:t>
            </w:r>
          </w:p>
          <w:p w:rsidR="005D23EB" w:rsidRPr="004E6B0C" w:rsidRDefault="005D23EB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5D23EB" w:rsidRPr="004E6B0C" w:rsidTr="00C822F5">
        <w:tc>
          <w:tcPr>
            <w:tcW w:w="8472" w:type="dxa"/>
            <w:gridSpan w:val="2"/>
          </w:tcPr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lang w:val="en-GB"/>
              </w:rPr>
            </w:pP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lang w:val="en-GB"/>
              </w:rPr>
            </w:pP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lang w:val="en-GB"/>
              </w:rPr>
            </w:pPr>
          </w:p>
          <w:p w:rsidR="005D23EB" w:rsidRPr="004E6B0C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</w:tc>
      </w:tr>
    </w:tbl>
    <w:p w:rsidR="005D23EB" w:rsidRPr="004E6B0C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E6B0C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4E6B0C" w:rsidTr="00C822F5">
        <w:tc>
          <w:tcPr>
            <w:tcW w:w="8472" w:type="dxa"/>
          </w:tcPr>
          <w:p w:rsidR="00ED7630" w:rsidRPr="004E6B0C" w:rsidRDefault="00ED7630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The relationship between heredity-environment and human social behavior through the evolution process is explored </w:t>
            </w:r>
          </w:p>
          <w:p w:rsidR="00ED7630" w:rsidRPr="004E6B0C" w:rsidRDefault="00ED7630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Behaviors of animals compared to human behavior through </w:t>
            </w:r>
            <w:r w:rsidR="004A22E0" w:rsidRPr="004E6B0C">
              <w:rPr>
                <w:rFonts w:asciiTheme="majorHAnsi" w:hAnsiTheme="majorHAnsi" w:cstheme="minorHAnsi"/>
                <w:szCs w:val="20"/>
                <w:lang w:val="en-US"/>
              </w:rPr>
              <w:t>natural selection are studied</w:t>
            </w:r>
          </w:p>
          <w:p w:rsidR="00A61C3B" w:rsidRPr="004E6B0C" w:rsidRDefault="00A61C3B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Definition of 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Ethology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 (comparative psychology) </w:t>
            </w:r>
          </w:p>
          <w:p w:rsidR="00A61C3B" w:rsidRPr="004E6B0C" w:rsidRDefault="00A61C3B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Instincts and learning – Permanent action models – engraving </w:t>
            </w:r>
          </w:p>
          <w:p w:rsidR="00A61C3B" w:rsidRPr="004E6B0C" w:rsidRDefault="00A61C3B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Senses – (touch, sound signals, olfactory signals, vision)</w:t>
            </w:r>
          </w:p>
          <w:p w:rsidR="00A61C3B" w:rsidRPr="004E6B0C" w:rsidRDefault="00A61C3B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Stimuli and signals (pump or trigger type), inherent mechanism of detachment  </w:t>
            </w:r>
          </w:p>
          <w:p w:rsidR="00A61C3B" w:rsidRPr="004E6B0C" w:rsidRDefault="00A61C3B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Self-</w:t>
            </w:r>
            <w:r w:rsidR="00571D8C" w:rsidRPr="004E6B0C">
              <w:rPr>
                <w:rFonts w:asciiTheme="majorHAnsi" w:hAnsiTheme="majorHAnsi" w:cstheme="minorHAnsi"/>
                <w:szCs w:val="20"/>
                <w:lang w:val="en-US"/>
              </w:rPr>
              <w:t>space</w:t>
            </w: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, </w:t>
            </w:r>
            <w:r w:rsidR="00571D8C"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the </w:t>
            </w: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meaning of personal vital space</w:t>
            </w:r>
          </w:p>
          <w:p w:rsidR="00A61C3B" w:rsidRPr="004E6B0C" w:rsidRDefault="00A61C3B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proofErr w:type="spellStart"/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Mimetism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 as a phenomenon of  natural self protectiveness</w:t>
            </w:r>
          </w:p>
          <w:p w:rsidR="00A61C3B" w:rsidRPr="004E6B0C" w:rsidRDefault="005C58A4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Social organization (social insects, </w:t>
            </w:r>
            <w:r w:rsidR="00392BD5" w:rsidRPr="004E6B0C">
              <w:rPr>
                <w:rFonts w:asciiTheme="majorHAnsi" w:hAnsiTheme="majorHAnsi" w:cstheme="minorHAnsi"/>
                <w:szCs w:val="20"/>
                <w:lang w:val="en-US"/>
              </w:rPr>
              <w:t>dominant and submissive animals)</w:t>
            </w:r>
          </w:p>
          <w:p w:rsidR="00392BD5" w:rsidRPr="004E6B0C" w:rsidRDefault="00392BD5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Plasticity in the social organizing of </w:t>
            </w:r>
            <w:r w:rsidR="00571D8C" w:rsidRPr="004E6B0C">
              <w:rPr>
                <w:rFonts w:asciiTheme="majorHAnsi" w:hAnsiTheme="majorHAnsi" w:cstheme="minorHAnsi"/>
                <w:szCs w:val="20"/>
                <w:lang w:val="en-US"/>
              </w:rPr>
              <w:t>higher mammals</w:t>
            </w:r>
          </w:p>
          <w:p w:rsidR="00392BD5" w:rsidRPr="004E6B0C" w:rsidRDefault="00392BD5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Communication (complicated forms of communication)</w:t>
            </w:r>
          </w:p>
          <w:p w:rsidR="00392BD5" w:rsidRPr="004E6B0C" w:rsidRDefault="00392BD5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</w:rPr>
            </w:pP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Group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hunting</w:t>
            </w:r>
            <w:proofErr w:type="spellEnd"/>
          </w:p>
          <w:p w:rsidR="00392BD5" w:rsidRPr="004E6B0C" w:rsidRDefault="00392BD5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Mechanisms to avoid overpopulation (ideal size of population, cannibalism, migrations)</w:t>
            </w:r>
          </w:p>
          <w:p w:rsidR="00392BD5" w:rsidRPr="004E6B0C" w:rsidRDefault="00392BD5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</w:rPr>
            </w:pP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Migrations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(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seasonal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, 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permanent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>)</w:t>
            </w:r>
          </w:p>
          <w:p w:rsidR="00392BD5" w:rsidRPr="004E6B0C" w:rsidRDefault="00392BD5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Altruism (selfless altruism, interrelated altruism)</w:t>
            </w:r>
          </w:p>
          <w:p w:rsidR="00392BD5" w:rsidRPr="004E6B0C" w:rsidRDefault="00392BD5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Infanticides and cannibalism (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gerontofagia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, sexual cannibalism)</w:t>
            </w:r>
          </w:p>
          <w:p w:rsidR="00392BD5" w:rsidRPr="004E6B0C" w:rsidRDefault="00392BD5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Sexuality: evolution, reproduction and sex. Sex biology, genders battle, </w:t>
            </w:r>
            <w:r w:rsidR="00A2306F" w:rsidRPr="004E6B0C">
              <w:rPr>
                <w:rFonts w:asciiTheme="majorHAnsi" w:hAnsiTheme="majorHAnsi" w:cstheme="minorHAnsi"/>
                <w:szCs w:val="20"/>
                <w:lang w:val="en-US"/>
              </w:rPr>
              <w:t xml:space="preserve">selection made by female, bisexuality, prostitution, incest, polygamy and monogamy, sperm competition, Coolidge phenomenon, similarities and differences between monkey and human sexuality   </w:t>
            </w:r>
          </w:p>
          <w:p w:rsidR="00A2306F" w:rsidRPr="004E6B0C" w:rsidRDefault="00A2306F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Emotions (friendship, death, maternal affection)</w:t>
            </w:r>
          </w:p>
          <w:p w:rsidR="00A2306F" w:rsidRPr="004E6B0C" w:rsidRDefault="00A2306F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</w:rPr>
            </w:pP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Play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and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socialization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</w:t>
            </w:r>
          </w:p>
          <w:p w:rsidR="00A2306F" w:rsidRPr="004E6B0C" w:rsidRDefault="00A2306F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</w:rPr>
            </w:pPr>
            <w:r w:rsidRPr="004E6B0C">
              <w:rPr>
                <w:rFonts w:asciiTheme="majorHAnsi" w:hAnsiTheme="majorHAnsi" w:cstheme="minorHAnsi"/>
                <w:szCs w:val="20"/>
              </w:rPr>
              <w:t>Use of tools</w:t>
            </w:r>
          </w:p>
          <w:p w:rsidR="00A2306F" w:rsidRPr="004E6B0C" w:rsidRDefault="00A2306F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</w:rPr>
            </w:pPr>
            <w:r w:rsidRPr="004E6B0C">
              <w:rPr>
                <w:rFonts w:asciiTheme="majorHAnsi" w:hAnsiTheme="majorHAnsi" w:cstheme="minorHAnsi"/>
                <w:szCs w:val="20"/>
              </w:rPr>
              <w:t>Symbolic language in monkeys</w:t>
            </w:r>
          </w:p>
          <w:p w:rsidR="00A2306F" w:rsidRPr="004E6B0C" w:rsidRDefault="00A2306F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Aggressiveness (peacemaking demonstrations, effect of social experiences in aggressiveness)</w:t>
            </w:r>
          </w:p>
          <w:p w:rsidR="00A2306F" w:rsidRPr="004E6B0C" w:rsidRDefault="00A2306F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  <w:lang w:val="en-US"/>
              </w:rPr>
            </w:pPr>
            <w:r w:rsidRPr="004E6B0C">
              <w:rPr>
                <w:rFonts w:asciiTheme="majorHAnsi" w:hAnsiTheme="majorHAnsi" w:cstheme="minorHAnsi"/>
                <w:szCs w:val="20"/>
                <w:lang w:val="en-US"/>
              </w:rPr>
              <w:t>Socio-Biology (social behavior in natural selection)</w:t>
            </w:r>
          </w:p>
          <w:p w:rsidR="00A2306F" w:rsidRPr="004E6B0C" w:rsidRDefault="00A2306F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</w:rPr>
            </w:pP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Biology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of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beauty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</w:t>
            </w: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and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allurement</w:t>
            </w:r>
          </w:p>
          <w:p w:rsidR="00A2306F" w:rsidRPr="004E6B0C" w:rsidRDefault="00A2306F" w:rsidP="00A2306F">
            <w:pPr>
              <w:pStyle w:val="ab"/>
              <w:numPr>
                <w:ilvl w:val="0"/>
                <w:numId w:val="48"/>
              </w:numPr>
              <w:ind w:left="284"/>
              <w:rPr>
                <w:rFonts w:asciiTheme="majorHAnsi" w:hAnsiTheme="majorHAnsi" w:cstheme="minorHAnsi"/>
                <w:szCs w:val="20"/>
              </w:rPr>
            </w:pPr>
            <w:proofErr w:type="spellStart"/>
            <w:r w:rsidRPr="004E6B0C">
              <w:rPr>
                <w:rFonts w:asciiTheme="majorHAnsi" w:hAnsiTheme="majorHAnsi" w:cstheme="minorHAnsi"/>
                <w:szCs w:val="20"/>
              </w:rPr>
              <w:t>Neoteny</w:t>
            </w:r>
            <w:proofErr w:type="spellEnd"/>
            <w:r w:rsidRPr="004E6B0C">
              <w:rPr>
                <w:rFonts w:asciiTheme="majorHAnsi" w:hAnsiTheme="majorHAnsi" w:cstheme="minorHAnsi"/>
                <w:szCs w:val="20"/>
              </w:rPr>
              <w:t xml:space="preserve"> </w:t>
            </w:r>
          </w:p>
          <w:p w:rsidR="005D23EB" w:rsidRPr="004E6B0C" w:rsidRDefault="005D23EB" w:rsidP="00C822F5">
            <w:pPr>
              <w:rPr>
                <w:rFonts w:asciiTheme="majorHAnsi" w:hAnsiTheme="majorHAnsi"/>
                <w:iCs/>
                <w:color w:val="002060"/>
                <w:sz w:val="28"/>
                <w:lang w:val="en-GB"/>
              </w:rPr>
            </w:pPr>
          </w:p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5D23EB" w:rsidRPr="004E6B0C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E6B0C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5D23EB" w:rsidRPr="004E6B0C" w:rsidTr="00C822F5">
        <w:tc>
          <w:tcPr>
            <w:tcW w:w="3306" w:type="dxa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DELIVERY</w:t>
            </w: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5D23EB" w:rsidRPr="004E6B0C" w:rsidRDefault="005D23EB" w:rsidP="00C822F5">
            <w:pPr>
              <w:spacing w:after="200" w:line="276" w:lineRule="auto"/>
              <w:rPr>
                <w:rFonts w:asciiTheme="majorHAnsi" w:hAnsiTheme="majorHAnsi"/>
                <w:iCs/>
                <w:color w:val="002060"/>
                <w:lang w:val="en-GB"/>
              </w:rPr>
            </w:pPr>
          </w:p>
        </w:tc>
      </w:tr>
      <w:tr w:rsidR="005D23EB" w:rsidRPr="004E6B0C" w:rsidTr="00C822F5">
        <w:tc>
          <w:tcPr>
            <w:tcW w:w="3306" w:type="dxa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USE OF INFORMATION AND COMMUNICATIONS TECHNOLOGY </w:t>
            </w: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</w:tcPr>
          <w:p w:rsidR="005D23EB" w:rsidRPr="004E6B0C" w:rsidRDefault="005D23EB" w:rsidP="00C822F5">
            <w:pPr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4E6B0C" w:rsidTr="00C822F5">
        <w:tc>
          <w:tcPr>
            <w:tcW w:w="3306" w:type="dxa"/>
            <w:shd w:val="clear" w:color="auto" w:fill="DDD9C3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TEACHING METHODS</w:t>
            </w: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The manner and methods of teaching are </w:t>
            </w: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lastRenderedPageBreak/>
              <w:t>described in detail.</w:t>
            </w: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5D23EB" w:rsidRPr="004E6B0C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4E6B0C" w:rsidRDefault="005D23EB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4E6B0C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lastRenderedPageBreak/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4E6B0C" w:rsidRDefault="005D23EB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4E6B0C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4F44E0" w:rsidRPr="004E6B0C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  <w:r w:rsidRPr="004E6B0C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4F44E0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  <w:r w:rsidRPr="004E6B0C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 xml:space="preserve">Total hours of lectures </w:t>
                  </w:r>
                  <w:r w:rsidRPr="004E6B0C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lastRenderedPageBreak/>
                    <w:t xml:space="preserve">per semester: 39 </w:t>
                  </w:r>
                </w:p>
              </w:tc>
            </w:tr>
            <w:tr w:rsidR="004F44E0" w:rsidRPr="004E6B0C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  <w:r w:rsidRPr="004E6B0C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lastRenderedPageBreak/>
                    <w:t xml:space="preserve">Small personal or group assignments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4F44E0" w:rsidRPr="004E6B0C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  <w:r w:rsidRPr="004E6B0C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 xml:space="preserve">Study hours for preparing before the course: 15 </w:t>
                  </w:r>
                </w:p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4F44E0" w:rsidRPr="004E6B0C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  <w:r w:rsidRPr="004E6B0C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 xml:space="preserve">Hours for meetings with the teacher: 5 </w:t>
                  </w:r>
                </w:p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4F44E0" w:rsidRPr="004E6B0C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  <w:r w:rsidRPr="004E6B0C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 xml:space="preserve">Study hours for preparing for exams:  40 </w:t>
                  </w:r>
                </w:p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4F44E0" w:rsidRPr="004E6B0C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jc w:val="center"/>
                    <w:rPr>
                      <w:rFonts w:asciiTheme="majorHAnsi" w:hAnsiTheme="majorHAnsi" w:cs="Arial"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4F44E0" w:rsidRPr="004E6B0C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4E6B0C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l-GR"/>
                    </w:rPr>
                  </w:pPr>
                  <w:r w:rsidRPr="004E6B0C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 xml:space="preserve">Course 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4E0" w:rsidRPr="004E6B0C" w:rsidRDefault="004F44E0" w:rsidP="004F44E0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2"/>
                    </w:rPr>
                  </w:pPr>
                  <w:r w:rsidRPr="004E6B0C"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2"/>
                    </w:rPr>
                    <w:t>9</w:t>
                  </w:r>
                  <w:proofErr w:type="spellStart"/>
                  <w:r w:rsidRPr="004E6B0C"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2"/>
                      <w:lang w:val="el-GR"/>
                    </w:rPr>
                    <w:t>9</w:t>
                  </w:r>
                  <w:proofErr w:type="spellEnd"/>
                  <w:r w:rsidRPr="004E6B0C"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2"/>
                      <w:lang w:val="el-GR"/>
                    </w:rPr>
                    <w:t xml:space="preserve"> </w:t>
                  </w:r>
                  <w:r w:rsidRPr="004E6B0C"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2"/>
                    </w:rPr>
                    <w:t>hours</w:t>
                  </w:r>
                </w:p>
              </w:tc>
            </w:tr>
          </w:tbl>
          <w:p w:rsidR="005D23EB" w:rsidRPr="004E6B0C" w:rsidRDefault="005D23EB" w:rsidP="00C822F5">
            <w:pPr>
              <w:rPr>
                <w:rFonts w:asciiTheme="majorHAnsi" w:hAnsiTheme="majorHAnsi" w:cs="Tahoma"/>
                <w:lang w:val="en-GB"/>
              </w:rPr>
            </w:pPr>
          </w:p>
        </w:tc>
      </w:tr>
      <w:tr w:rsidR="005D23EB" w:rsidRPr="004E6B0C" w:rsidTr="00C822F5">
        <w:tc>
          <w:tcPr>
            <w:tcW w:w="3306" w:type="dxa"/>
          </w:tcPr>
          <w:p w:rsidR="005D23EB" w:rsidRPr="004E6B0C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E6B0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lastRenderedPageBreak/>
              <w:t>STUDENT PERFORMANCE EVALUATION</w:t>
            </w: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2"/>
                <w:szCs w:val="22"/>
                <w:lang w:val="en-GB"/>
              </w:rPr>
            </w:pPr>
          </w:p>
          <w:p w:rsidR="00AA6AC6" w:rsidRPr="004E6B0C" w:rsidRDefault="00AA6AC6" w:rsidP="00AA6AC6">
            <w:pPr>
              <w:rPr>
                <w:rFonts w:asciiTheme="majorHAnsi" w:hAnsiTheme="majorHAnsi"/>
                <w:iCs/>
                <w:color w:val="002060"/>
                <w:sz w:val="22"/>
                <w:szCs w:val="22"/>
              </w:rPr>
            </w:pPr>
            <w:r w:rsidRPr="004E6B0C">
              <w:rPr>
                <w:rFonts w:asciiTheme="majorHAnsi" w:hAnsiTheme="majorHAnsi"/>
                <w:iCs/>
                <w:color w:val="002060"/>
                <w:sz w:val="22"/>
                <w:szCs w:val="22"/>
              </w:rPr>
              <w:t xml:space="preserve">Optional essay/report 20% </w:t>
            </w:r>
          </w:p>
          <w:p w:rsidR="00AA6AC6" w:rsidRPr="004E6B0C" w:rsidRDefault="00AA6AC6" w:rsidP="00AA6AC6">
            <w:pPr>
              <w:rPr>
                <w:rFonts w:asciiTheme="majorHAnsi" w:hAnsiTheme="majorHAnsi"/>
                <w:iCs/>
                <w:color w:val="002060"/>
                <w:sz w:val="22"/>
                <w:szCs w:val="22"/>
              </w:rPr>
            </w:pPr>
            <w:r w:rsidRPr="004E6B0C">
              <w:rPr>
                <w:rFonts w:asciiTheme="majorHAnsi" w:hAnsiTheme="majorHAnsi"/>
                <w:iCs/>
                <w:color w:val="002060"/>
                <w:sz w:val="22"/>
                <w:szCs w:val="22"/>
              </w:rPr>
              <w:t xml:space="preserve">Written examination (summative to essay/ report) 80% </w:t>
            </w:r>
          </w:p>
          <w:p w:rsidR="00AA6AC6" w:rsidRPr="004E6B0C" w:rsidRDefault="00AA6AC6" w:rsidP="00AA6AC6">
            <w:pPr>
              <w:rPr>
                <w:rFonts w:asciiTheme="majorHAnsi" w:hAnsiTheme="majorHAnsi"/>
                <w:iCs/>
                <w:color w:val="002060"/>
                <w:sz w:val="22"/>
                <w:szCs w:val="22"/>
              </w:rPr>
            </w:pPr>
            <w:r w:rsidRPr="004E6B0C">
              <w:rPr>
                <w:rFonts w:asciiTheme="majorHAnsi" w:hAnsiTheme="majorHAnsi"/>
                <w:iCs/>
                <w:color w:val="002060"/>
                <w:sz w:val="22"/>
                <w:szCs w:val="22"/>
              </w:rPr>
              <w:t xml:space="preserve">Written examination (without essay/report) 100% </w:t>
            </w:r>
          </w:p>
          <w:p w:rsidR="00AA6AC6" w:rsidRPr="004E6B0C" w:rsidRDefault="00AA6AC6" w:rsidP="00AA6AC6">
            <w:pPr>
              <w:rPr>
                <w:rFonts w:asciiTheme="majorHAnsi" w:hAnsiTheme="majorHAnsi"/>
                <w:iCs/>
                <w:color w:val="002060"/>
                <w:sz w:val="22"/>
                <w:szCs w:val="22"/>
              </w:rPr>
            </w:pPr>
            <w:r w:rsidRPr="004E6B0C">
              <w:rPr>
                <w:rFonts w:asciiTheme="majorHAnsi" w:hAnsiTheme="majorHAnsi"/>
                <w:iCs/>
                <w:color w:val="002060"/>
                <w:sz w:val="22"/>
                <w:szCs w:val="22"/>
              </w:rPr>
              <w:t xml:space="preserve">Research assignment for ERASMUS students 100% </w:t>
            </w:r>
          </w:p>
          <w:p w:rsidR="00AA6AC6" w:rsidRPr="004E6B0C" w:rsidRDefault="00AA6AC6" w:rsidP="00AA6AC6">
            <w:pPr>
              <w:rPr>
                <w:rFonts w:asciiTheme="majorHAnsi" w:hAnsiTheme="majorHAnsi"/>
                <w:iCs/>
                <w:color w:val="002060"/>
                <w:sz w:val="22"/>
                <w:szCs w:val="22"/>
              </w:rPr>
            </w:pPr>
          </w:p>
          <w:p w:rsidR="00AA6AC6" w:rsidRPr="004E6B0C" w:rsidRDefault="00AA6AC6" w:rsidP="00AA6AC6">
            <w:pPr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  <w:p w:rsidR="005D23EB" w:rsidRPr="004E6B0C" w:rsidRDefault="005D23EB" w:rsidP="00C822F5">
            <w:pPr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</w:tc>
      </w:tr>
    </w:tbl>
    <w:p w:rsidR="005D23EB" w:rsidRPr="004E6B0C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E6B0C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4E6B0C" w:rsidTr="00C822F5">
        <w:tc>
          <w:tcPr>
            <w:tcW w:w="8472" w:type="dxa"/>
          </w:tcPr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Suggested bibliography:</w:t>
            </w: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E6B0C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Related academic journals:</w:t>
            </w: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  <w:p w:rsidR="00AA6AC6" w:rsidRPr="004E6B0C" w:rsidRDefault="00AA6AC6" w:rsidP="00AA6AC6">
            <w:pPr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>-</w:t>
            </w:r>
            <w:proofErr w:type="spellStart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>Καφετζόπουλος</w:t>
            </w:r>
            <w:proofErr w:type="spellEnd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, Ε. (1999) Εισαγωγή στην Εξελικτική βιολογία. Αθήνα: Κάτοπτρο. </w:t>
            </w:r>
          </w:p>
          <w:p w:rsidR="00AA6AC6" w:rsidRPr="004E6B0C" w:rsidRDefault="00AA6AC6" w:rsidP="00AA6AC6">
            <w:pPr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>-</w:t>
            </w:r>
            <w:proofErr w:type="spellStart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>Κούρτοβικ</w:t>
            </w:r>
            <w:proofErr w:type="spellEnd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, Δ. (1998) Συγκριτική Ψυχολογία (Ηθολογία). Αθήνα: Ελληνικά Γράμματα. </w:t>
            </w:r>
          </w:p>
          <w:p w:rsidR="00AA6AC6" w:rsidRPr="004E6B0C" w:rsidRDefault="00AA6AC6" w:rsidP="00AA6AC6">
            <w:pPr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>-</w:t>
            </w:r>
            <w:proofErr w:type="spellStart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>Κριμπάς</w:t>
            </w:r>
            <w:proofErr w:type="spellEnd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, Κ. (2007) </w:t>
            </w:r>
            <w:proofErr w:type="spellStart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>Κοινωνιοβιολογία</w:t>
            </w:r>
            <w:proofErr w:type="spellEnd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. Αθήνα: Κάτοπτρο. </w:t>
            </w:r>
          </w:p>
          <w:p w:rsidR="00AA6AC6" w:rsidRPr="004E6B0C" w:rsidRDefault="00AA6AC6" w:rsidP="00AA6AC6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>-</w:t>
            </w:r>
            <w:proofErr w:type="spellStart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>Ροδάκης</w:t>
            </w:r>
            <w:proofErr w:type="spellEnd"/>
            <w:r w:rsidRPr="004E6B0C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, Γ. (2001) Εισαγωγή στην εξελικτική βιολογία. </w:t>
            </w:r>
            <w:proofErr w:type="spellStart"/>
            <w:r w:rsidRPr="004E6B0C">
              <w:rPr>
                <w:rFonts w:asciiTheme="majorHAnsi" w:hAnsiTheme="majorHAnsi" w:cs="Calibri"/>
                <w:sz w:val="22"/>
                <w:szCs w:val="22"/>
              </w:rPr>
              <w:t>Αθήνα</w:t>
            </w:r>
            <w:proofErr w:type="spellEnd"/>
            <w:r w:rsidRPr="004E6B0C">
              <w:rPr>
                <w:rFonts w:asciiTheme="majorHAnsi" w:hAnsiTheme="majorHAnsi" w:cs="Calibri"/>
                <w:sz w:val="22"/>
                <w:szCs w:val="22"/>
              </w:rPr>
              <w:t xml:space="preserve">: </w:t>
            </w:r>
            <w:proofErr w:type="spellStart"/>
            <w:r w:rsidRPr="004E6B0C">
              <w:rPr>
                <w:rFonts w:asciiTheme="majorHAnsi" w:hAnsiTheme="majorHAnsi" w:cs="Calibri"/>
                <w:sz w:val="22"/>
                <w:szCs w:val="22"/>
              </w:rPr>
              <w:t>Λίτσας</w:t>
            </w:r>
            <w:proofErr w:type="spellEnd"/>
            <w:r w:rsidRPr="004E6B0C">
              <w:rPr>
                <w:rFonts w:asciiTheme="majorHAnsi" w:hAnsiTheme="majorHAnsi" w:cs="Calibri"/>
                <w:sz w:val="22"/>
                <w:szCs w:val="22"/>
              </w:rPr>
              <w:t xml:space="preserve">. </w:t>
            </w:r>
          </w:p>
          <w:p w:rsidR="00AA6AC6" w:rsidRPr="004E6B0C" w:rsidRDefault="00AA6AC6" w:rsidP="00AA6AC6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4E6B0C">
              <w:rPr>
                <w:rFonts w:asciiTheme="majorHAnsi" w:hAnsiTheme="majorHAnsi" w:cs="Calibri"/>
                <w:sz w:val="22"/>
                <w:szCs w:val="22"/>
              </w:rPr>
              <w:t xml:space="preserve">-Burt, A., </w:t>
            </w:r>
            <w:proofErr w:type="spellStart"/>
            <w:r w:rsidRPr="004E6B0C">
              <w:rPr>
                <w:rFonts w:asciiTheme="majorHAnsi" w:hAnsiTheme="majorHAnsi" w:cs="Calibri"/>
                <w:sz w:val="22"/>
                <w:szCs w:val="22"/>
              </w:rPr>
              <w:t>Trivers</w:t>
            </w:r>
            <w:proofErr w:type="spellEnd"/>
            <w:r w:rsidRPr="004E6B0C">
              <w:rPr>
                <w:rFonts w:asciiTheme="majorHAnsi" w:hAnsiTheme="majorHAnsi" w:cs="Calibri"/>
                <w:sz w:val="22"/>
                <w:szCs w:val="22"/>
              </w:rPr>
              <w:t xml:space="preserve">, R. (2006) Genes in conflict: The biology of Selfish Genetic Elements. </w:t>
            </w:r>
          </w:p>
          <w:p w:rsidR="00AA6AC6" w:rsidRPr="004E6B0C" w:rsidRDefault="00AA6AC6" w:rsidP="00AA6AC6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4E6B0C">
              <w:rPr>
                <w:rFonts w:asciiTheme="majorHAnsi" w:hAnsiTheme="majorHAnsi" w:cs="Calibri"/>
                <w:sz w:val="22"/>
                <w:szCs w:val="22"/>
              </w:rPr>
              <w:t>-Cambridge MA: Belknap Press of Harvard University.</w:t>
            </w: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color w:val="002060"/>
              </w:rPr>
            </w:pPr>
          </w:p>
          <w:p w:rsidR="005D23EB" w:rsidRPr="004E6B0C" w:rsidRDefault="005D23EB" w:rsidP="00C822F5">
            <w:pPr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bookmarkEnd w:id="0"/>
    </w:tbl>
    <w:p w:rsidR="005D23EB" w:rsidRPr="004E6B0C" w:rsidRDefault="005D23EB" w:rsidP="00836326">
      <w:pPr>
        <w:rPr>
          <w:rFonts w:asciiTheme="majorHAnsi" w:hAnsiTheme="majorHAnsi"/>
        </w:rPr>
      </w:pPr>
    </w:p>
    <w:sectPr w:rsidR="005D23EB" w:rsidRPr="004E6B0C" w:rsidSect="0015270C">
      <w:headerReference w:type="even" r:id="rId7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82" w:rsidRDefault="000F5D82">
      <w:r>
        <w:separator/>
      </w:r>
    </w:p>
  </w:endnote>
  <w:endnote w:type="continuationSeparator" w:id="0">
    <w:p w:rsidR="000F5D82" w:rsidRDefault="000F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82" w:rsidRDefault="000F5D82">
      <w:r>
        <w:separator/>
      </w:r>
    </w:p>
  </w:footnote>
  <w:footnote w:type="continuationSeparator" w:id="0">
    <w:p w:rsidR="000F5D82" w:rsidRDefault="000F5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EB" w:rsidRDefault="00A0483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23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3EB" w:rsidRDefault="005D23E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"/>
      </v:shape>
    </w:pict>
  </w:numPicBullet>
  <w:abstractNum w:abstractNumId="0">
    <w:nsid w:val="00904751"/>
    <w:multiLevelType w:val="hybridMultilevel"/>
    <w:tmpl w:val="DB06F4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C533C">
      <w:start w:val="1"/>
      <w:numFmt w:val="decimal"/>
      <w:lvlText w:val="3.3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77FBE"/>
    <w:multiLevelType w:val="hybridMultilevel"/>
    <w:tmpl w:val="6D6AEB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9A4"/>
    <w:multiLevelType w:val="hybridMultilevel"/>
    <w:tmpl w:val="F6F82F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93AD2"/>
    <w:multiLevelType w:val="hybridMultilevel"/>
    <w:tmpl w:val="71DEE6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62690"/>
    <w:multiLevelType w:val="hybridMultilevel"/>
    <w:tmpl w:val="15D61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77DA5"/>
    <w:multiLevelType w:val="hybridMultilevel"/>
    <w:tmpl w:val="3676D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E5C02"/>
    <w:multiLevelType w:val="hybridMultilevel"/>
    <w:tmpl w:val="1772D2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0D63"/>
    <w:multiLevelType w:val="hybridMultilevel"/>
    <w:tmpl w:val="6F48BA6E"/>
    <w:lvl w:ilvl="0" w:tplc="73668A4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17FE7"/>
    <w:multiLevelType w:val="hybridMultilevel"/>
    <w:tmpl w:val="74D0E336"/>
    <w:lvl w:ilvl="0" w:tplc="74B0E20A">
      <w:start w:val="1"/>
      <w:numFmt w:val="decimal"/>
      <w:lvlText w:val="4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1D4D69"/>
    <w:multiLevelType w:val="hybridMultilevel"/>
    <w:tmpl w:val="052E01EE"/>
    <w:lvl w:ilvl="0" w:tplc="0110067C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E967CB"/>
    <w:multiLevelType w:val="hybridMultilevel"/>
    <w:tmpl w:val="386E46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2C550A"/>
    <w:multiLevelType w:val="hybridMultilevel"/>
    <w:tmpl w:val="E35285FA"/>
    <w:lvl w:ilvl="0" w:tplc="989E5A0C">
      <w:start w:val="1"/>
      <w:numFmt w:val="decimal"/>
      <w:lvlText w:val="7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88A0AE7"/>
    <w:multiLevelType w:val="hybridMultilevel"/>
    <w:tmpl w:val="300C91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D43D4"/>
    <w:multiLevelType w:val="hybridMultilevel"/>
    <w:tmpl w:val="D3DAE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3217F"/>
    <w:multiLevelType w:val="multilevel"/>
    <w:tmpl w:val="8A22C5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16">
    <w:nsid w:val="1CE65F08"/>
    <w:multiLevelType w:val="hybridMultilevel"/>
    <w:tmpl w:val="EEB077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5815E6"/>
    <w:multiLevelType w:val="hybridMultilevel"/>
    <w:tmpl w:val="B98E1F10"/>
    <w:lvl w:ilvl="0" w:tplc="0408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8">
    <w:nsid w:val="28452602"/>
    <w:multiLevelType w:val="hybridMultilevel"/>
    <w:tmpl w:val="F702C894"/>
    <w:lvl w:ilvl="0" w:tplc="2EA0036E">
      <w:start w:val="1"/>
      <w:numFmt w:val="decimal"/>
      <w:lvlText w:val="7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D777564"/>
    <w:multiLevelType w:val="hybridMultilevel"/>
    <w:tmpl w:val="35185A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7E4156"/>
    <w:multiLevelType w:val="hybridMultilevel"/>
    <w:tmpl w:val="9AE60BB8"/>
    <w:lvl w:ilvl="0" w:tplc="F9F6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0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E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AC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C3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6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8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15D0CF4"/>
    <w:multiLevelType w:val="multilevel"/>
    <w:tmpl w:val="8084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32DD0A1A"/>
    <w:multiLevelType w:val="hybridMultilevel"/>
    <w:tmpl w:val="79B0D0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5027B9"/>
    <w:multiLevelType w:val="hybridMultilevel"/>
    <w:tmpl w:val="7096986C"/>
    <w:lvl w:ilvl="0" w:tplc="0A909332">
      <w:start w:val="1"/>
      <w:numFmt w:val="decimal"/>
      <w:lvlText w:val="4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C2D3C7A"/>
    <w:multiLevelType w:val="hybridMultilevel"/>
    <w:tmpl w:val="91D87DA2"/>
    <w:lvl w:ilvl="0" w:tplc="17EC0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25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0F6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C18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C0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074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A00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A00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A3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C4C0067"/>
    <w:multiLevelType w:val="hybridMultilevel"/>
    <w:tmpl w:val="21A623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555399"/>
    <w:multiLevelType w:val="hybridMultilevel"/>
    <w:tmpl w:val="D1BA65BE"/>
    <w:lvl w:ilvl="0" w:tplc="1572FFD2">
      <w:start w:val="1"/>
      <w:numFmt w:val="decimal"/>
      <w:lvlText w:val="6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0CA4913"/>
    <w:multiLevelType w:val="hybridMultilevel"/>
    <w:tmpl w:val="D6F62EAA"/>
    <w:lvl w:ilvl="0" w:tplc="6B9A7FDE">
      <w:start w:val="1"/>
      <w:numFmt w:val="decimal"/>
      <w:lvlText w:val="2.6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20210BA"/>
    <w:multiLevelType w:val="hybridMultilevel"/>
    <w:tmpl w:val="2CD8AEAC"/>
    <w:lvl w:ilvl="0" w:tplc="A87620F2">
      <w:start w:val="1"/>
      <w:numFmt w:val="decimal"/>
      <w:lvlText w:val="7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2655ABC"/>
    <w:multiLevelType w:val="hybridMultilevel"/>
    <w:tmpl w:val="32C28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16BB0"/>
    <w:multiLevelType w:val="hybridMultilevel"/>
    <w:tmpl w:val="CC021DD4"/>
    <w:lvl w:ilvl="0" w:tplc="6C94F0C2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502803"/>
    <w:multiLevelType w:val="multilevel"/>
    <w:tmpl w:val="766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B17D3E"/>
    <w:multiLevelType w:val="hybridMultilevel"/>
    <w:tmpl w:val="B79ECA8A"/>
    <w:lvl w:ilvl="0" w:tplc="EA7AEFDE">
      <w:start w:val="1"/>
      <w:numFmt w:val="decimal"/>
      <w:lvlText w:val="4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37A46C9"/>
    <w:multiLevelType w:val="hybridMultilevel"/>
    <w:tmpl w:val="88FCCD80"/>
    <w:lvl w:ilvl="0" w:tplc="D390DF5C">
      <w:start w:val="1"/>
      <w:numFmt w:val="decimal"/>
      <w:lvlText w:val="7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E76FE4"/>
    <w:multiLevelType w:val="hybridMultilevel"/>
    <w:tmpl w:val="7B1EB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1732EF"/>
    <w:multiLevelType w:val="hybridMultilevel"/>
    <w:tmpl w:val="966882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1F12FB"/>
    <w:multiLevelType w:val="hybridMultilevel"/>
    <w:tmpl w:val="A03C95A0"/>
    <w:lvl w:ilvl="0" w:tplc="0CF68D5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151F8"/>
    <w:multiLevelType w:val="hybridMultilevel"/>
    <w:tmpl w:val="B29C7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254D19"/>
    <w:multiLevelType w:val="hybridMultilevel"/>
    <w:tmpl w:val="FBAEC6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6BF315A5"/>
    <w:multiLevelType w:val="hybridMultilevel"/>
    <w:tmpl w:val="93C463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877DF"/>
    <w:multiLevelType w:val="hybridMultilevel"/>
    <w:tmpl w:val="0C543460"/>
    <w:lvl w:ilvl="0" w:tplc="3B44013E">
      <w:start w:val="1"/>
      <w:numFmt w:val="decimal"/>
      <w:lvlText w:val="6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D00051"/>
    <w:multiLevelType w:val="multilevel"/>
    <w:tmpl w:val="A7CCD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43">
    <w:nsid w:val="798667AB"/>
    <w:multiLevelType w:val="hybridMultilevel"/>
    <w:tmpl w:val="990259A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9976D97"/>
    <w:multiLevelType w:val="hybridMultilevel"/>
    <w:tmpl w:val="4A88A89A"/>
    <w:lvl w:ilvl="0" w:tplc="BB589C44">
      <w:start w:val="1"/>
      <w:numFmt w:val="decimal"/>
      <w:lvlText w:val="4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ED6291B"/>
    <w:multiLevelType w:val="hybridMultilevel"/>
    <w:tmpl w:val="52F05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3"/>
  </w:num>
  <w:num w:numId="7">
    <w:abstractNumId w:val="19"/>
  </w:num>
  <w:num w:numId="8">
    <w:abstractNumId w:val="9"/>
  </w:num>
  <w:num w:numId="9">
    <w:abstractNumId w:val="36"/>
  </w:num>
  <w:num w:numId="10">
    <w:abstractNumId w:val="44"/>
  </w:num>
  <w:num w:numId="11">
    <w:abstractNumId w:val="20"/>
  </w:num>
  <w:num w:numId="12">
    <w:abstractNumId w:val="24"/>
  </w:num>
  <w:num w:numId="13">
    <w:abstractNumId w:val="9"/>
  </w:num>
  <w:num w:numId="14">
    <w:abstractNumId w:val="16"/>
  </w:num>
  <w:num w:numId="15">
    <w:abstractNumId w:val="39"/>
  </w:num>
  <w:num w:numId="16">
    <w:abstractNumId w:val="36"/>
  </w:num>
  <w:num w:numId="17">
    <w:abstractNumId w:val="14"/>
  </w:num>
  <w:num w:numId="18">
    <w:abstractNumId w:val="25"/>
  </w:num>
  <w:num w:numId="19">
    <w:abstractNumId w:val="0"/>
  </w:num>
  <w:num w:numId="20">
    <w:abstractNumId w:val="17"/>
  </w:num>
  <w:num w:numId="21">
    <w:abstractNumId w:val="7"/>
  </w:num>
  <w:num w:numId="22">
    <w:abstractNumId w:val="32"/>
  </w:num>
  <w:num w:numId="23">
    <w:abstractNumId w:val="12"/>
  </w:num>
  <w:num w:numId="24">
    <w:abstractNumId w:val="21"/>
  </w:num>
  <w:num w:numId="25">
    <w:abstractNumId w:val="2"/>
  </w:num>
  <w:num w:numId="26">
    <w:abstractNumId w:val="45"/>
  </w:num>
  <w:num w:numId="27">
    <w:abstractNumId w:val="35"/>
  </w:num>
  <w:num w:numId="28">
    <w:abstractNumId w:val="8"/>
  </w:num>
  <w:num w:numId="29">
    <w:abstractNumId w:val="26"/>
  </w:num>
  <w:num w:numId="30">
    <w:abstractNumId w:val="41"/>
  </w:num>
  <w:num w:numId="31">
    <w:abstractNumId w:val="10"/>
  </w:num>
  <w:num w:numId="32">
    <w:abstractNumId w:val="30"/>
  </w:num>
  <w:num w:numId="33">
    <w:abstractNumId w:val="23"/>
  </w:num>
  <w:num w:numId="34">
    <w:abstractNumId w:val="40"/>
  </w:num>
  <w:num w:numId="35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2"/>
  </w:num>
  <w:num w:numId="38">
    <w:abstractNumId w:val="1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3"/>
  </w:num>
  <w:num w:numId="41">
    <w:abstractNumId w:val="18"/>
  </w:num>
  <w:num w:numId="42">
    <w:abstractNumId w:val="28"/>
  </w:num>
  <w:num w:numId="43">
    <w:abstractNumId w:val="31"/>
  </w:num>
  <w:num w:numId="44">
    <w:abstractNumId w:val="38"/>
  </w:num>
  <w:num w:numId="45">
    <w:abstractNumId w:val="1"/>
  </w:num>
  <w:num w:numId="46">
    <w:abstractNumId w:val="4"/>
  </w:num>
  <w:num w:numId="47">
    <w:abstractNumId w:val="29"/>
  </w:num>
  <w:num w:numId="4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5007E"/>
    <w:rsid w:val="00052058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573F"/>
    <w:rsid w:val="000F5D82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270C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2D16"/>
    <w:rsid w:val="001C37B5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3A34"/>
    <w:rsid w:val="00205B36"/>
    <w:rsid w:val="00206BAF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82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79E6"/>
    <w:rsid w:val="00337B8A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2BD5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1F8F"/>
    <w:rsid w:val="004038E8"/>
    <w:rsid w:val="00404C74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2E0"/>
    <w:rsid w:val="004A2870"/>
    <w:rsid w:val="004A2F47"/>
    <w:rsid w:val="004A7888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6B0C"/>
    <w:rsid w:val="004E7274"/>
    <w:rsid w:val="004F14DF"/>
    <w:rsid w:val="004F2431"/>
    <w:rsid w:val="004F3901"/>
    <w:rsid w:val="004F41D3"/>
    <w:rsid w:val="004F44E0"/>
    <w:rsid w:val="004F6C27"/>
    <w:rsid w:val="004F6D2C"/>
    <w:rsid w:val="004F7794"/>
    <w:rsid w:val="00502E98"/>
    <w:rsid w:val="00504010"/>
    <w:rsid w:val="0050455A"/>
    <w:rsid w:val="00505DA5"/>
    <w:rsid w:val="00510B88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4AA"/>
    <w:rsid w:val="00564A87"/>
    <w:rsid w:val="005653AC"/>
    <w:rsid w:val="005655E4"/>
    <w:rsid w:val="00565796"/>
    <w:rsid w:val="005667DA"/>
    <w:rsid w:val="005712F1"/>
    <w:rsid w:val="0057137E"/>
    <w:rsid w:val="00571D8C"/>
    <w:rsid w:val="0057266B"/>
    <w:rsid w:val="00573222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58A4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CDD"/>
    <w:rsid w:val="005E670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57E5"/>
    <w:rsid w:val="00667CAA"/>
    <w:rsid w:val="00667ED7"/>
    <w:rsid w:val="006702EA"/>
    <w:rsid w:val="00673E26"/>
    <w:rsid w:val="006742F4"/>
    <w:rsid w:val="00677A06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6EBA"/>
    <w:rsid w:val="006A0172"/>
    <w:rsid w:val="006A1698"/>
    <w:rsid w:val="006A6323"/>
    <w:rsid w:val="006A7193"/>
    <w:rsid w:val="006B0C77"/>
    <w:rsid w:val="006B1A7F"/>
    <w:rsid w:val="006B1F35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3835"/>
    <w:rsid w:val="00804786"/>
    <w:rsid w:val="00804ED0"/>
    <w:rsid w:val="00805B3C"/>
    <w:rsid w:val="00812870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E56"/>
    <w:rsid w:val="008601ED"/>
    <w:rsid w:val="00861DE7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BCD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5858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7779"/>
    <w:rsid w:val="009E7B07"/>
    <w:rsid w:val="009F6FEA"/>
    <w:rsid w:val="00A00EB0"/>
    <w:rsid w:val="00A02135"/>
    <w:rsid w:val="00A03499"/>
    <w:rsid w:val="00A03BB9"/>
    <w:rsid w:val="00A0483B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6EDA"/>
    <w:rsid w:val="00A2238D"/>
    <w:rsid w:val="00A22F95"/>
    <w:rsid w:val="00A2306F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50F96"/>
    <w:rsid w:val="00A514BB"/>
    <w:rsid w:val="00A54541"/>
    <w:rsid w:val="00A551FE"/>
    <w:rsid w:val="00A61646"/>
    <w:rsid w:val="00A61AE7"/>
    <w:rsid w:val="00A61C3B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A156C"/>
    <w:rsid w:val="00AA2240"/>
    <w:rsid w:val="00AA2ACD"/>
    <w:rsid w:val="00AA6AC6"/>
    <w:rsid w:val="00AA6FD8"/>
    <w:rsid w:val="00AB03BE"/>
    <w:rsid w:val="00AB18AC"/>
    <w:rsid w:val="00AB5159"/>
    <w:rsid w:val="00AB608F"/>
    <w:rsid w:val="00AB7A54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04C5E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01B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B62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1EA8"/>
    <w:rsid w:val="00C32006"/>
    <w:rsid w:val="00C33A80"/>
    <w:rsid w:val="00C33D83"/>
    <w:rsid w:val="00C363EF"/>
    <w:rsid w:val="00C442C8"/>
    <w:rsid w:val="00C4452B"/>
    <w:rsid w:val="00C44C70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0A8F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3DBA"/>
    <w:rsid w:val="00EC478C"/>
    <w:rsid w:val="00EC55CE"/>
    <w:rsid w:val="00EC65A8"/>
    <w:rsid w:val="00ED18C3"/>
    <w:rsid w:val="00ED1B09"/>
    <w:rsid w:val="00ED2411"/>
    <w:rsid w:val="00ED7287"/>
    <w:rsid w:val="00ED7630"/>
    <w:rsid w:val="00EE1313"/>
    <w:rsid w:val="00EE4A0A"/>
    <w:rsid w:val="00EE780C"/>
    <w:rsid w:val="00EE7C55"/>
    <w:rsid w:val="00EF135B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07FF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37C3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semiHidden="0" w:uiPriority="0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semiHidden="0" w:uiPriority="0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3724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uiPriority w:val="99"/>
    <w:rsid w:val="0042341E"/>
    <w:pPr>
      <w:jc w:val="both"/>
    </w:pPr>
  </w:style>
  <w:style w:type="character" w:customStyle="1" w:styleId="Char">
    <w:name w:val="Σώμα κειμένου Char"/>
    <w:basedOn w:val="a0"/>
    <w:link w:val="a3"/>
    <w:uiPriority w:val="99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uiPriority w:val="99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basedOn w:val="a0"/>
    <w:uiPriority w:val="99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basedOn w:val="a0"/>
    <w:uiPriority w:val="99"/>
    <w:rsid w:val="0042341E"/>
    <w:rPr>
      <w:rFonts w:cs="Times New Roman"/>
    </w:rPr>
  </w:style>
  <w:style w:type="paragraph" w:styleId="a8">
    <w:name w:val="Body Text Indent"/>
    <w:basedOn w:val="a"/>
    <w:link w:val="Char2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42341E"/>
    <w:pPr>
      <w:jc w:val="both"/>
    </w:pPr>
    <w:rPr>
      <w:b/>
      <w:bCs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22">
    <w:name w:val="toc 2"/>
    <w:basedOn w:val="a"/>
    <w:next w:val="a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30">
    <w:name w:val="toc 3"/>
    <w:basedOn w:val="a"/>
    <w:next w:val="a"/>
    <w:autoRedefine/>
    <w:uiPriority w:val="99"/>
    <w:rsid w:val="0042341E"/>
    <w:pPr>
      <w:ind w:left="480"/>
    </w:pPr>
  </w:style>
  <w:style w:type="paragraph" w:styleId="40">
    <w:name w:val="toc 4"/>
    <w:basedOn w:val="a"/>
    <w:next w:val="a"/>
    <w:autoRedefine/>
    <w:uiPriority w:val="99"/>
    <w:semiHidden/>
    <w:rsid w:val="0042341E"/>
    <w:pPr>
      <w:ind w:left="720"/>
    </w:pPr>
  </w:style>
  <w:style w:type="paragraph" w:styleId="50">
    <w:name w:val="toc 5"/>
    <w:basedOn w:val="a"/>
    <w:next w:val="a"/>
    <w:autoRedefine/>
    <w:uiPriority w:val="99"/>
    <w:semiHidden/>
    <w:rsid w:val="0042341E"/>
    <w:pPr>
      <w:ind w:left="960"/>
    </w:pPr>
  </w:style>
  <w:style w:type="paragraph" w:styleId="60">
    <w:name w:val="toc 6"/>
    <w:basedOn w:val="a"/>
    <w:next w:val="a"/>
    <w:autoRedefine/>
    <w:uiPriority w:val="99"/>
    <w:semiHidden/>
    <w:rsid w:val="0042341E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42341E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42341E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42341E"/>
    <w:pPr>
      <w:ind w:left="1920"/>
    </w:pPr>
  </w:style>
  <w:style w:type="character" w:styleId="-">
    <w:name w:val="Hyperlink"/>
    <w:basedOn w:val="a0"/>
    <w:uiPriority w:val="99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3Char0">
    <w:name w:val="Σώμα κείμενου με εσοχή 3 Char"/>
    <w:basedOn w:val="a0"/>
    <w:link w:val="31"/>
    <w:uiPriority w:val="99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uiPriority w:val="99"/>
    <w:rsid w:val="0042341E"/>
    <w:pPr>
      <w:jc w:val="center"/>
    </w:pPr>
    <w:rPr>
      <w:b/>
      <w:bCs/>
      <w:lang w:val="el-GR"/>
    </w:rPr>
  </w:style>
  <w:style w:type="character" w:customStyle="1" w:styleId="3Char1">
    <w:name w:val="Σώμα κείμενου 3 Char"/>
    <w:basedOn w:val="a0"/>
    <w:link w:val="32"/>
    <w:uiPriority w:val="99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aa">
    <w:name w:val="footer"/>
    <w:basedOn w:val="a"/>
    <w:link w:val="Char3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semiHidden/>
    <w:locked/>
    <w:rsid w:val="003B23D7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ac">
    <w:name w:val="Table Grid"/>
    <w:basedOn w:val="a1"/>
    <w:uiPriority w:val="99"/>
    <w:rsid w:val="001B78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ad">
    <w:name w:val="TOC Heading"/>
    <w:basedOn w:val="1"/>
    <w:next w:val="a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ae">
    <w:name w:val="Balloon Text"/>
    <w:basedOn w:val="a"/>
    <w:link w:val="Char4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a0"/>
    <w:uiPriority w:val="99"/>
    <w:rsid w:val="00C44C70"/>
    <w:rPr>
      <w:rFonts w:cs="Times New Roman"/>
    </w:rPr>
  </w:style>
  <w:style w:type="character" w:styleId="af">
    <w:name w:val="annotation reference"/>
    <w:basedOn w:val="a0"/>
    <w:uiPriority w:val="99"/>
    <w:semiHidden/>
    <w:rsid w:val="000571FD"/>
    <w:rPr>
      <w:rFonts w:cs="Times New Roman"/>
      <w:sz w:val="16"/>
      <w:szCs w:val="16"/>
    </w:rPr>
  </w:style>
  <w:style w:type="paragraph" w:styleId="af0">
    <w:name w:val="annotation text"/>
    <w:basedOn w:val="a"/>
    <w:link w:val="Char5"/>
    <w:uiPriority w:val="99"/>
    <w:semiHidden/>
    <w:rsid w:val="000571FD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locked/>
    <w:rsid w:val="003B23D7"/>
    <w:rPr>
      <w:rFonts w:cs="Times New Roman"/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rsid w:val="000571FD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locked/>
    <w:rsid w:val="003B23D7"/>
    <w:rPr>
      <w:b/>
      <w:bCs/>
    </w:rPr>
  </w:style>
  <w:style w:type="character" w:customStyle="1" w:styleId="titleqatooltip">
    <w:name w:val="title qa_tooltip"/>
    <w:basedOn w:val="a0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a0"/>
    <w:uiPriority w:val="99"/>
    <w:rsid w:val="00AB18AC"/>
    <w:rPr>
      <w:rFonts w:cs="Times New Roman"/>
    </w:rPr>
  </w:style>
  <w:style w:type="character" w:customStyle="1" w:styleId="qatooltip">
    <w:name w:val="qa_tooltip"/>
    <w:basedOn w:val="a0"/>
    <w:uiPriority w:val="99"/>
    <w:rsid w:val="00667ED7"/>
    <w:rPr>
      <w:rFonts w:cs="Times New Roman"/>
    </w:rPr>
  </w:style>
  <w:style w:type="table" w:customStyle="1" w:styleId="TableGrid1">
    <w:name w:val="Table Grid1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382703"/>
    <w:rPr>
      <w:rFonts w:cs="Times New Roman"/>
    </w:rPr>
  </w:style>
  <w:style w:type="character" w:customStyle="1" w:styleId="shorttext">
    <w:name w:val="short_text"/>
    <w:basedOn w:val="a0"/>
    <w:uiPriority w:val="99"/>
    <w:rsid w:val="00903735"/>
    <w:rPr>
      <w:rFonts w:cs="Times New Roman"/>
    </w:rPr>
  </w:style>
  <w:style w:type="character" w:customStyle="1" w:styleId="atn">
    <w:name w:val="atn"/>
    <w:basedOn w:val="a0"/>
    <w:uiPriority w:val="99"/>
    <w:rsid w:val="00903735"/>
    <w:rPr>
      <w:rFonts w:cs="Times New Roman"/>
    </w:rPr>
  </w:style>
  <w:style w:type="character" w:customStyle="1" w:styleId="st">
    <w:name w:val="st"/>
    <w:basedOn w:val="a0"/>
    <w:uiPriority w:val="99"/>
    <w:rsid w:val="00C210BA"/>
    <w:rPr>
      <w:rFonts w:cs="Times New Roman"/>
    </w:rPr>
  </w:style>
  <w:style w:type="character" w:styleId="af2">
    <w:name w:val="Emphasis"/>
    <w:basedOn w:val="a0"/>
    <w:uiPriority w:val="99"/>
    <w:qFormat/>
    <w:locked/>
    <w:rsid w:val="00C210BA"/>
    <w:rPr>
      <w:rFonts w:cs="Times New Roman"/>
      <w:i/>
      <w:iCs/>
    </w:rPr>
  </w:style>
  <w:style w:type="character" w:styleId="af3">
    <w:name w:val="Strong"/>
    <w:basedOn w:val="a0"/>
    <w:uiPriority w:val="99"/>
    <w:qFormat/>
    <w:locked/>
    <w:rsid w:val="00305870"/>
    <w:rPr>
      <w:rFonts w:cs="Times New Roman"/>
      <w:b/>
      <w:bCs/>
    </w:rPr>
  </w:style>
  <w:style w:type="character" w:styleId="-0">
    <w:name w:val="FollowedHyperlink"/>
    <w:basedOn w:val="a0"/>
    <w:uiPriority w:val="99"/>
    <w:semiHidden/>
    <w:locked/>
    <w:rsid w:val="008671B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Dora</cp:lastModifiedBy>
  <cp:revision>2</cp:revision>
  <cp:lastPrinted>2014-04-24T14:33:00Z</cp:lastPrinted>
  <dcterms:created xsi:type="dcterms:W3CDTF">2018-05-25T06:58:00Z</dcterms:created>
  <dcterms:modified xsi:type="dcterms:W3CDTF">2018-05-25T06:58:00Z</dcterms:modified>
</cp:coreProperties>
</file>